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5EE92F">
      <w:pPr>
        <w:pStyle w:val="6"/>
        <w:numPr>
          <w:ilvl w:val="0"/>
          <w:numId w:val="0"/>
        </w:numPr>
        <w:rPr>
          <w:rFonts w:hint="eastAsia" w:ascii="楷体" w:hAnsi="楷体" w:eastAsia="楷体" w:cs="楷体"/>
          <w:b/>
          <w:bCs/>
          <w:kern w:val="2"/>
          <w:sz w:val="32"/>
          <w:szCs w:val="32"/>
          <w:highlight w:val="none"/>
          <w:lang w:val="en-US" w:eastAsia="zh-CN" w:bidi="ar-SA"/>
        </w:rPr>
      </w:pPr>
      <w:r>
        <w:rPr>
          <w:rFonts w:hint="eastAsia" w:ascii="楷体" w:hAnsi="楷体" w:eastAsia="楷体" w:cs="楷体"/>
          <w:b/>
          <w:bCs/>
          <w:sz w:val="32"/>
          <w:szCs w:val="32"/>
          <w:highlight w:val="none"/>
          <w:lang w:val="en-US" w:eastAsia="zh-CN"/>
        </w:rPr>
        <w:t>一、技术/服务要求</w:t>
      </w:r>
    </w:p>
    <w:tbl>
      <w:tblPr>
        <w:tblStyle w:val="7"/>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6"/>
        <w:gridCol w:w="1096"/>
        <w:gridCol w:w="618"/>
        <w:gridCol w:w="1216"/>
        <w:gridCol w:w="1020"/>
        <w:gridCol w:w="1020"/>
        <w:gridCol w:w="2370"/>
        <w:gridCol w:w="523"/>
      </w:tblGrid>
      <w:tr w14:paraId="350CB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44E1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序号</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ADAF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参数类型</w:t>
            </w:r>
          </w:p>
        </w:tc>
        <w:tc>
          <w:tcPr>
            <w:tcW w:w="3971"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8F3E6">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技术/服务要求</w:t>
            </w:r>
          </w:p>
        </w:tc>
      </w:tr>
      <w:tr w14:paraId="75D63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38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7505F5A0">
            <w:pPr>
              <w:keepNext w:val="0"/>
              <w:keepLines w:val="0"/>
              <w:widowControl/>
              <w:suppressLineNumbers w:val="0"/>
              <w:jc w:val="center"/>
              <w:textAlignment w:val="top"/>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1</w:t>
            </w:r>
          </w:p>
        </w:tc>
        <w:tc>
          <w:tcPr>
            <w:tcW w:w="64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6FCA184B">
            <w:pPr>
              <w:keepNext w:val="0"/>
              <w:keepLines w:val="0"/>
              <w:widowControl/>
              <w:suppressLineNumbers w:val="0"/>
              <w:jc w:val="center"/>
              <w:textAlignment w:val="top"/>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F8C05">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序号</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F0AB5">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岗位名称</w:t>
            </w:r>
          </w:p>
        </w:tc>
        <w:tc>
          <w:tcPr>
            <w:tcW w:w="5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375F1">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学历要求</w:t>
            </w:r>
          </w:p>
        </w:tc>
        <w:tc>
          <w:tcPr>
            <w:tcW w:w="5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33132">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任职资格</w:t>
            </w:r>
          </w:p>
        </w:tc>
        <w:tc>
          <w:tcPr>
            <w:tcW w:w="1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C125E">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岗位职责</w:t>
            </w:r>
          </w:p>
        </w:tc>
        <w:tc>
          <w:tcPr>
            <w:tcW w:w="3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949AE">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需求数量</w:t>
            </w:r>
          </w:p>
        </w:tc>
      </w:tr>
      <w:tr w14:paraId="454F6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2115227">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B71DEFF">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E6F7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06DA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后勤保障协调员</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825F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无</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374A8">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有管理保洁、保安工作经历</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0997F">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1.协助后勤保卫部协调管理物业第三方人员</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2.代表院方进行全院环境卫生督查，各种杂事处理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3.完成科室安排的其他辅助性工作。</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543D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2FE0A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3007F90">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4DA037E">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3F0E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DBB9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消毒供应室工人</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ED60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无</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D11C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沟通能力强，有责任心，吃苦耐劳</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FC421">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1.协助科室管理和维护医疗用品和耗材的库存。</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2.收、发医疗器械，确保供应物品的追溯性。</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3.确保相关器材整洁、舒适、无异味。</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4.完成科室安排的其他辅助性工作</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97A7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r>
      <w:tr w14:paraId="707F0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20DDAA2">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625AE5B">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A835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9A1B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药学部工人</w:t>
            </w:r>
          </w:p>
        </w:tc>
        <w:tc>
          <w:tcPr>
            <w:tcW w:w="5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8627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lang w:eastAsia="zh-CN"/>
              </w:rPr>
            </w:pPr>
            <w:r>
              <w:rPr>
                <w:rFonts w:hint="eastAsia" w:ascii="宋体" w:hAnsi="宋体" w:eastAsia="宋体" w:cs="宋体"/>
                <w:i w:val="0"/>
                <w:iCs w:val="0"/>
                <w:color w:val="auto"/>
                <w:sz w:val="20"/>
                <w:szCs w:val="20"/>
                <w:highlight w:val="none"/>
                <w:u w:val="none"/>
                <w:lang w:eastAsia="zh-CN"/>
              </w:rPr>
              <w:t>无</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A390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具有三级医院药剂科库房工作经历</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0871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1.协助药库人员开展药品验收、药品维护，大输液发放等工作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2.整理药库基础事务资料</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3.完成科室安排的其他辅助性工作</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55F3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4BD84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A306497">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34C58DE">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8300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9779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病案管理员</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3EED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中专及以上</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0405C">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会基本电脑操作，善于沟通，有较强的服务意识</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06E4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1.协助病案管理科完成日常工作管理。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2.协助科室完成全院病案的收集、整理、装订、登记、编目、借阅和保管、维护等工作。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3.参与封存病历的排班。</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4.完成科室安排的其他辅助性工作。</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0F03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23272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8A4B885">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4283A31">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010A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5FE4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收费员</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3736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中专（高中）及以上</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3E942">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会基本电脑操作，沟通能力强，服务意识强；有会计资格证的优先</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F4D8E">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1.正常完成收费室的日常工作（挂号、收费、退费、入院办理等）。</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2.协助科室人员指引病人就医，耐心解答病人的问题，主动对患者提供帮助。</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3.保持科内整洁、舒适、无异味。</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4.完成科室安排的其他辅助性工作</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9787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r>
      <w:tr w14:paraId="10BA9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8"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61763DD">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639527F">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615B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6BB0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信息技术辅助员</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9B85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本科及以上</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959C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计算机相关专业，</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须具备信息工程相关知识和专业条件，能独立处理工作</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D82B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1.协助管理医院网络系统和机房设施设备安全检查与隐患整改；落实局部新增网络与点位的搭建与正常使用；医院部分网络硬件实体，如交换机、路由器等的安装和维护；网络软件的安装及运维；</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2.协助维护医院信息系统的安全运行，保证医院业务的正常工作；远程医疗会诊平台、肿瘤与三医等监管平台数据处理与上传</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3.协助硬件设施管理：网络、电脑与系统配套硬件设施的检修、参数配置与调试；医护工作站内网电脑系统的重装、系统诊断与优化</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4.协助完成全院远程账号设置与管理、资源分配与调整；落实网络安全及资源共享策略；网络账号管理、资源分配、数据安全和系统安全；落实内外网准入规则监管；落实员工上网行为管理</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375F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1E219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BBF93B2">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9A29DB7">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1CAE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8EA8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导医</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29C9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大专及以上</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B93D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会基本电脑操作，身高160cm以上，形象气质佳，沟通能力强，医学相关专业优先</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A031E">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1.做好导诊、导医等便民服务，并耐心为患者做好解释疏导。</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2.协助完成门诊坐诊医师的出诊安排和日常号表的维护。</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3.协助完成门诊预约挂号管理。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4.完成科室安排的其他辅助性工作。</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4606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r>
      <w:tr w14:paraId="0AADC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EFB12F8">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B3076A6">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14D8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083C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打字员</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4D13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中专（高中）及以上</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2CE96">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会基本电脑操作，善于沟通，有较强的服务意识</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773F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1.负责病患信息的录入与核对。</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2.按顺序通知病患进入检查室。</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3.整理科室病历、报表、公文等资料，做好归档、保管及查阅登记。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4.协调医患沟通、科室内外联络，传递各类信息。</w:t>
            </w:r>
          </w:p>
        </w:tc>
        <w:tc>
          <w:tcPr>
            <w:tcW w:w="3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ECF8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r>
      <w:tr w14:paraId="226C8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FEFC924">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777703C">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867A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10C9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科秘书</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D87D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中专（高中）及以上</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E37D1">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会基本电脑操作，善于沟通，有较强的服务意识</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DBD1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1.行政事务：协助主任处理科室日常行政，落实各项工作安排，管理科室考勤。</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2.文书档案：整理科室病历、报表、公文等资料，做好归档、保管及查阅登记。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3.物资协调：负责科室办公用品、耗材申领、登记与管理，保障物资供应。</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4.沟通衔接：协调医患沟通、科室内外联络，传递各类信息。</w:t>
            </w:r>
          </w:p>
        </w:tc>
        <w:tc>
          <w:tcPr>
            <w:tcW w:w="3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D6ED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w:t>
            </w:r>
          </w:p>
        </w:tc>
      </w:tr>
      <w:tr w14:paraId="7EC66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EF2419B">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FB96EE4">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B38C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2010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超声医疗辅助员</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78D09">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中专及以上</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56DF6">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医学相关专业，且执业医师注册范围为医学影像</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897A2">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1.完成超声检查相关工作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2.参与夜间值班</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3.能独立出具超声报告</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4.服从科室安排，完成其他指令性任务</w:t>
            </w:r>
          </w:p>
        </w:tc>
        <w:tc>
          <w:tcPr>
            <w:tcW w:w="3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1FA6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71C15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519A639">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22D087D">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8214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30E7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临床辅助员</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7BC78">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中专及以上</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EFA8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医学相关专业，会基本电脑操作，善于沟通，有较强的服务意识</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4D5B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1.诊疗辅助：协助医护人员准备诊疗器械、整理诊疗用品，配合完成基础诊疗辅助工作。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2.物资管理：清点、整理科室耗材、器械，协助申领、登记，保障日常使用。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3.环境与秩序：维护科室诊疗区域整洁，引导患者有序就诊，维护就诊秩序。</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4.基础衔接：配合科室主任，传递简单信息，协助完成各类基础协调工作。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5.其他工作：负责完成科室安排的其他相关工作。</w:t>
            </w:r>
          </w:p>
        </w:tc>
        <w:tc>
          <w:tcPr>
            <w:tcW w:w="3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58F0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r>
      <w:tr w14:paraId="0430D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870B5AB">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5808720">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10E5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A1D6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医技辅助员（超声）</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48BD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中专及以上</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C927E">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护理（学）专业，会基本电脑操作，善于沟通，有较强的服务意识</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36AC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1.负责窗口咨询、报告发放、维护窗口秩序等窗口相关工作。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2.负责接诊、诊室卫生、诊室耗材准备等工作。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3.负责医疗用品、日常消耗品的领取、发放、摆放，并做好记录。</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4.服从科室安排，完成其他指令性任务</w:t>
            </w:r>
          </w:p>
        </w:tc>
        <w:tc>
          <w:tcPr>
            <w:tcW w:w="3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4665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r>
      <w:tr w14:paraId="4CF56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DB99629">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69A50F8">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1F48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CD61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医技辅助员（心电）</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08F1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中专及以上</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BD7E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医学相关专业，会基本电脑操作，善于沟通，有较强的服务意识</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D801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1.负责窗口咨询、报告发放、维护窗口秩序等窗口相关工作。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2.负责接诊、诊室卫生、诊室耗材准备等工作。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3.负责医疗用品、日常消耗品的领取、发放、摆放，并做好记录。</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4.服从科室安排，完成其他指令性任务</w:t>
            </w:r>
          </w:p>
        </w:tc>
        <w:tc>
          <w:tcPr>
            <w:tcW w:w="3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6FA7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r>
      <w:tr w14:paraId="524BB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D1719D0">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AAD0B2A">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B8D8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6DA5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护理辅助员</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8A3C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中专及以上</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7093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护理（学）专业，具有护士资格证，会基本电脑操作，善于沟通，有较强的服务意识</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3D6B6">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1.诊疗辅助：协助医护人员准备诊疗器械、整理诊疗用品，配合完成基础诊疗辅助工作。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2.物资管理：清点、整理科室耗材、器械，协助申领、登记，保障日常使用。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3.环境与秩序：维护科室诊疗区域整洁，引导患者有序就诊，维护就诊秩序。</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4.基础衔接：配合科室主任，传递简单信息，协助完成各类基础协调工作。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5.其他工作：负责完成科室安排的其他相关工作。</w:t>
            </w:r>
          </w:p>
        </w:tc>
        <w:tc>
          <w:tcPr>
            <w:tcW w:w="3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B5BB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w:t>
            </w:r>
          </w:p>
        </w:tc>
      </w:tr>
      <w:tr w14:paraId="63F05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FBD2F1B">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B5BCF86">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EA69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76DF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超声技术辅助员</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3FDB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中专及以上</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3148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医学影像技术专业，具有技师资格证；形象气质佳，沟通能力强</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56B4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1.辅助完成超声检查相关工作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2.协助夜间值班</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3.服从科室安排，完成其他指令性任务</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ED5F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r>
      <w:tr w14:paraId="3B029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1E1DA84">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D570224">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2B70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B000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检验技术辅助员</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AB3E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中专及以上</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6722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医学检验技术专业，具有检验技士资格证；形象气质佳，沟通能力强</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85A3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1.辅助完成检验相关工作。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2.协助夜班值班。</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3.能与临床交流沟通检验工作相关问题。</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4.协助科室完成资料编写工作。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5.完成科室安排的其他辅助性工作。</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180F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r>
      <w:tr w14:paraId="19F5C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37D43E6">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8BE0725">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BB25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17</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89B7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外派体检辅助员</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5C71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中专及以上</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367B7">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护理（学）专业，具有护士资格证，会基本电脑操作，形象气质佳，沟通能力强</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AE3F7">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1.负责执法办案中心每日新进人员的体检接待工作，完成登记建档、文档归档及数据维护。</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2.协助完成心电图检查和放射检查。</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3.协助完成各项基础体检工作。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4.常规护理工作：采血、院感防控等。</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5.负责危急值的识别、报告及应急处理，遇突发情况及时上报并妥善处置。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6.完成上级交办的其他临时性工作任务。</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F960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r>
      <w:tr w14:paraId="43518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6C1591E">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DC0769D">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5508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443A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药学技术辅助员</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E5AA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大专及以上</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4CB5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药学相关专业，具有药士以上职称证书，会基本电脑操作，善于沟通，有较强的服务意识</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5ABF7">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1.辅助药品的调配与发放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2.辅助科室进行处方审核</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3.指导患者按照医嘱正确用药</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4.完成科室安排的其他辅助性工作</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A87E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w:t>
            </w:r>
          </w:p>
        </w:tc>
      </w:tr>
      <w:tr w14:paraId="16D2B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1BF8D96">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B0D375A">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5430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D804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康复技术辅助员</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312F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中专及以上</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B469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医学相关专业，取得康复医学治疗技术资格证书，会基本电脑操作，善于沟通，有较强的服务意识</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F0ED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1.在康复/医学疼痛科治疗师指导下完成康复治疗工作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2.能独立完成神经康复治疗（偏瘫肢体功能训练，运动疗法，有氧训练，作业疗法，手功能训练，言语训练，认知功能训练等）</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3.服从科室安排，完成其他指令性任务</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66FD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r>
      <w:tr w14:paraId="0323B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95DA300">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641A4F7">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4BB2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合计</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14F35">
            <w:pPr>
              <w:jc w:val="center"/>
              <w:rPr>
                <w:rFonts w:hint="eastAsia" w:ascii="宋体" w:hAnsi="宋体" w:eastAsia="宋体" w:cs="宋体"/>
                <w:i w:val="0"/>
                <w:iCs w:val="0"/>
                <w:color w:val="auto"/>
                <w:sz w:val="22"/>
                <w:szCs w:val="22"/>
                <w:highlight w:val="none"/>
                <w:u w:val="none"/>
              </w:rPr>
            </w:pPr>
          </w:p>
        </w:tc>
        <w:tc>
          <w:tcPr>
            <w:tcW w:w="5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84790">
            <w:pPr>
              <w:rPr>
                <w:rFonts w:hint="eastAsia" w:ascii="宋体" w:hAnsi="宋体" w:eastAsia="宋体" w:cs="宋体"/>
                <w:i w:val="0"/>
                <w:iCs w:val="0"/>
                <w:color w:val="auto"/>
                <w:sz w:val="22"/>
                <w:szCs w:val="22"/>
                <w:highlight w:val="none"/>
                <w:u w:val="none"/>
              </w:rPr>
            </w:pPr>
          </w:p>
        </w:tc>
        <w:tc>
          <w:tcPr>
            <w:tcW w:w="5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88CC3">
            <w:pPr>
              <w:rPr>
                <w:rFonts w:hint="eastAsia" w:ascii="宋体" w:hAnsi="宋体" w:eastAsia="宋体" w:cs="宋体"/>
                <w:i w:val="0"/>
                <w:iCs w:val="0"/>
                <w:color w:val="auto"/>
                <w:sz w:val="22"/>
                <w:szCs w:val="22"/>
                <w:highlight w:val="none"/>
                <w:u w:val="none"/>
              </w:rPr>
            </w:pPr>
          </w:p>
        </w:tc>
        <w:tc>
          <w:tcPr>
            <w:tcW w:w="1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9FA26">
            <w:pPr>
              <w:rPr>
                <w:rFonts w:hint="eastAsia" w:ascii="宋体" w:hAnsi="宋体" w:eastAsia="宋体" w:cs="宋体"/>
                <w:i w:val="0"/>
                <w:iCs w:val="0"/>
                <w:color w:val="auto"/>
                <w:sz w:val="22"/>
                <w:szCs w:val="22"/>
                <w:highlight w:val="none"/>
                <w:u w:val="none"/>
              </w:rPr>
            </w:pP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286D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106</w:t>
            </w:r>
          </w:p>
        </w:tc>
      </w:tr>
    </w:tbl>
    <w:tbl>
      <w:tblPr>
        <w:tblStyle w:val="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5"/>
        <w:gridCol w:w="435"/>
        <w:gridCol w:w="975"/>
        <w:gridCol w:w="6674"/>
      </w:tblGrid>
      <w:tr w14:paraId="5096E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 w:type="pct"/>
          </w:tcPr>
          <w:p w14:paraId="16F94832">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2</w:t>
            </w:r>
          </w:p>
        </w:tc>
        <w:tc>
          <w:tcPr>
            <w:tcW w:w="255" w:type="pct"/>
          </w:tcPr>
          <w:p w14:paraId="617611EC">
            <w:pPr>
              <w:keepNext w:val="0"/>
              <w:keepLines w:val="0"/>
              <w:widowControl/>
              <w:suppressLineNumbers w:val="0"/>
              <w:jc w:val="left"/>
              <w:rPr>
                <w:rFonts w:hint="default"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w:t>
            </w:r>
          </w:p>
        </w:tc>
        <w:tc>
          <w:tcPr>
            <w:tcW w:w="572" w:type="pct"/>
          </w:tcPr>
          <w:p w14:paraId="7574449C">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服务内容</w:t>
            </w:r>
          </w:p>
        </w:tc>
        <w:tc>
          <w:tcPr>
            <w:tcW w:w="3916" w:type="pct"/>
          </w:tcPr>
          <w:p w14:paraId="489FF3FE">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1.开展项目管理。全面负责辅助性服务项目的管理，开展项目现场管理、日常沟通、需求响应等工作，保障采购人业务稳定有序开展。</w:t>
            </w:r>
          </w:p>
          <w:p w14:paraId="38950FEC">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2.供应商配备专门的项目管理团队（不少于3人）配合采购人工作。供应商提供的管理人员应具有较强的组织及协调沟通能力。</w:t>
            </w:r>
          </w:p>
          <w:p w14:paraId="6596F440">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1名主要负责人（在投标文件中提供人员名单、身份证扫描件、相应证书扫描件、工作经历证明）：主要负责人应熟悉三级综合性医院医疗辅助服务业务，具有医院项目管理经验，具有企业人力资源管理师证书或经济师（人力资源管理专业）证书。</w:t>
            </w:r>
          </w:p>
          <w:p w14:paraId="3A640C78">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2）1名人员全职驻采购人现场管理。要求为：具备企业人力资源管理师证书或经济师（人力资源管理专业）证书，具有综合性医院项目管理经验。项目现场驻场管理人员由供应商提供人选，经采购人面试合格后进驻。经采购人面试（具体面试要求）确定的项目驻场管理人员在服务期限内不得随意更换，更换必须提前一个月报备并经过采购人书面同意。</w:t>
            </w:r>
          </w:p>
          <w:p w14:paraId="705DEEFA">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（3）供应商应指派1名专人（除全职驻点人员外）负责项目开展、相关服务人员的日常管理和监督。</w:t>
            </w:r>
          </w:p>
          <w:p w14:paraId="50C6A695">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3.负责项目服务人员招聘。按照采购人项目要求开展人员招聘，包含发布招聘公告，简历筛选、组织面试、推荐优秀人员。</w:t>
            </w:r>
          </w:p>
          <w:p w14:paraId="582CD4C5">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4.体检及背景调查。供应商提供的项目服务人员须身体健康，无传染性疾病和精神疾病、无吸毒史。供应商应对本项目提供服务的人员进行背景调查，确保项目服务人员无违法犯罪记录、体检合格（须在二级甲等及以上医院进行入职体检，采购人不承担入职体检费）并满足采购人对本项目的服务要求，本项目服务人员经采购人面试考核后上岗。</w:t>
            </w:r>
          </w:p>
          <w:p w14:paraId="7B33950B">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5.负责项目服务人员的培训。</w:t>
            </w:r>
          </w:p>
          <w:p w14:paraId="14A8249F">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供应商须对项目服务人员进行岗前培训，进行上岗知识和技能、沟通技巧、保密意识、劳动安全等教育，确保服务人员思想、情绪稳定。供应商应依法告知服务人员工作过程中可能产生的职业病危害及其后果，提供职业病防护措施，组织项目服务人员学习并遵守采购人的规章制度和管理规范规程，项目服务人员应当维护采购人的权益，忠于职守、文明礼貌、严格遵守纪律、服从和执行采购人的安排和调度。</w:t>
            </w:r>
          </w:p>
          <w:p w14:paraId="6A9CFC0A">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（2）每季度定期组织培训，内容包含法律法规、安全消防知识、礼仪、保密、院内感控知识等，特殊岗位培训要针对特殊（如放射防护）。</w:t>
            </w:r>
            <w:r>
              <w:rPr>
                <w:rFonts w:hint="eastAsia" w:ascii="仿宋_GB2312" w:hAnsi="仿宋_GB2312" w:eastAsia="仿宋_GB2312" w:cs="仿宋_GB2312"/>
                <w:b/>
                <w:bCs/>
                <w:color w:val="000000"/>
                <w:kern w:val="0"/>
                <w:sz w:val="21"/>
                <w:szCs w:val="21"/>
                <w:highlight w:val="none"/>
                <w:lang w:val="en-US" w:eastAsia="zh-CN" w:bidi="ar"/>
              </w:rPr>
              <w:t>（须提供相关培训资料、记录及签字情况）</w:t>
            </w:r>
          </w:p>
          <w:p w14:paraId="592F34D6">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6.提供考核试用服务，项目试用服务期限为一周。供应商提供到采购人的项目服务人员，须经历一周的项目试用考核：项目人员通过试用服务考核的，从到岗之日起支付项目服务费用；考核不通过的，不支付服务费。采购人有权视情况延长项目服务人员的考核期限或者要求供应商更换项目服务人员。</w:t>
            </w:r>
          </w:p>
          <w:p w14:paraId="6EAC19C0">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7.负责项目服务人员的日常管理。供应商应当与其安排到采购人处的项目服务人员签订不少于本项目服务期限的书面劳动合同，建立劳动关系，供应商应当遵守《中华人民共和国劳动法》和《中华人民共和国民法典》的规定，为本项目服务人员购买社会保险和医疗保险，提供劳动条件等。日常管理包括项目人员进场培训，项目人员考勤管理、考核、薪酬发放、个税代扣代缴、社保的代扣代缴、党（团）关系管理、后勤服务管理、劳动争议调解、失业工伤退休手续办理、安全和心理健康教育等相关工作。确保服务人员应聘、录用、离职等管理档案规范，手续齐全；供应商应向采购人提供全体项目服务人员的劳动合同备存。</w:t>
            </w:r>
          </w:p>
          <w:p w14:paraId="3E932732">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8.供应商对派至采购人的服务人员有管理权，采购人对供应商的工作可以提出合理的建议，同时对供应商管理方法和管理工具有义务支持。</w:t>
            </w:r>
          </w:p>
          <w:p w14:paraId="2B20C010">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9.供应商提供的项目服务人员应遵守采购人的安全操作规章制度和本项目的服务要求，项目服务人员在项目服务期间造成他人或自身伤害、损失等，由供应商承担相应的法律责任和经济赔偿责任，采购人不承担任何责任或连带责任。若因服务人员的行为导致采购人被司法机关生效判决或仲裁机构裁决认定为须承担赔偿责任的，采购人有权就自身承担的赔偿金额及相关费用向供应商全额追偿。供应商明确不因项目服务人员的不当行为向采购人追究任何法律责任和经济赔偿责任。若服务期内项目服务人员出现伤、病及非因公死亡情况及其他劳动争议，由供应商承担法律责任，与采购人无关。</w:t>
            </w:r>
          </w:p>
          <w:p w14:paraId="6C31799F">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10.供应商负责对本项目服务人员的日常管理活动，应为服务人员制定相应的考核、奖惩机制，定期或不定期对本项目服务人员进行检查、考核。本项目服务人员应当仪表整洁，统一着装，挂牌上岗，规范管理，礼貌待人，保持岗位卫生整洁。项目服务人员应遵守业务操作规范，不与病员、群众、采购人工作人员发生争吵或冲突。供应商确保所有相关投诉在24小时内响应，48小时内处理完毕，处理合格率应达到100%，并对相关投诉事宜进行登记，每月十日前向采购人提供上一自然月的完整档案记录。项目服务人员在服务过程中产生的投诉、纠纷和法律事件，由供应商承担一切责任。</w:t>
            </w:r>
          </w:p>
          <w:p w14:paraId="169AB487">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11.供应商提供的项目服务人员能接受夜班、加班，工作时间按国家综合工时制执行，供应商应保障项目服务人员每周至少休息一天。</w:t>
            </w:r>
          </w:p>
          <w:p w14:paraId="6424F712">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12.供应商提供的项目服务人员的薪酬标准应不低于成都市新津区最低</w:t>
            </w:r>
          </w:p>
          <w:p w14:paraId="79930115">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工资标准。</w:t>
            </w:r>
          </w:p>
          <w:p w14:paraId="6BB606C5">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13.为保证项目服务质量，供应商提供的项目服务人员应专职服务于本项目，禁止项目服务人员在外从事其他兼职活动、经营活动或服务活动。如遇特殊情况需调整本项目服务人员的，在保证本项目正常运行的前提下，应提前10个工作日报请采购人同意后方可实施。</w:t>
            </w:r>
          </w:p>
          <w:p w14:paraId="674E9004">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14.供应商在聘用本项目服务人员时，须优先聘用采购人推荐的原有岗位工作人员，除原有人员自愿离职和解聘外，供应商不得随意解聘。</w:t>
            </w:r>
          </w:p>
          <w:p w14:paraId="6A49CC9A">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15.采购人可根据工作需要调整相应岗位的人数。</w:t>
            </w:r>
          </w:p>
          <w:p w14:paraId="46F5ABE6">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16.供应商须在接到采购人通知后10日内完成项目相应服务人员配备（到岗）。</w:t>
            </w:r>
          </w:p>
          <w:p w14:paraId="4FE2C9C7">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17.服务期间项目服务人员若出现人员流失、缺岗等情况，供应商应在10个工作日内补足人员。</w:t>
            </w:r>
          </w:p>
          <w:p w14:paraId="7E22DD0B">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18.供应商每月定期到项目服务人员所在科室进行回访和沟通，了解科室需求、服务人员的表现，及时调整对服务人员的考核标准和薪酬标准，保证服务质量。</w:t>
            </w:r>
          </w:p>
          <w:p w14:paraId="603ACFC8">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19.供应商应为项目服务人员提供安全保护措施，进行安全培训（每年不低于3次）；供应商应承担项目服务人员在工作过程中的安全责任。如发生工伤、工亡事故的，供应商须采取应急处理措施，及时送医救治、进行调查处理，负责后续一切事宜（至少包含：向社保机构申请认定、申请进行伤残劳动能力鉴定、申请赔付，承担一次性伤残就业补助金、慰问金、医疗费用、丧葬抚恤费用），由供应商承担全部责任和经济补偿。采购人不承担任何责任。供应商服务人员发生工伤事故的（在采购人处工作期间或上下班的途中），或者供应商原因导致采购人或任意第三方人身或财产损失的，一切费用由供应商承担。若供应商服务人员工</w:t>
            </w:r>
          </w:p>
          <w:p w14:paraId="4C11EF72">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作中，未按相关规定及流程执行导致相关事故的，一切费用由供应商承担。</w:t>
            </w:r>
          </w:p>
          <w:p w14:paraId="4E9C9147">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20.供应商应做好本项目服务人员的风险防控，建立应急方案、突发事件处置预案等。若在项目服务过程中发生突发事件（至少包含舆情、信访、上访、罢工、院内感染、人身伤害），供应商应在4小时内响应并立刻开展应急处理措施。</w:t>
            </w:r>
          </w:p>
          <w:p w14:paraId="35AA6669">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21.供应商应遵守采购人安全管理规定，项目服务人员须遵守国家有关法律法规和采购人相关管理规定，若因供应商管理不善、控制不力原因而发生火灾等安全事故、群体游行、示威、罢工等重大事件的，采购人有权立即解除合同且不承担任何违约责任，并按照考评办法对供应商进行处罚。</w:t>
            </w:r>
          </w:p>
          <w:p w14:paraId="614E897E">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22.供应商有责任配合采购人接受上级主管部门的监督、检查，提供必需的资料。</w:t>
            </w:r>
          </w:p>
          <w:p w14:paraId="1814CF06">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23.供应商劳资支出包含以下：</w:t>
            </w:r>
          </w:p>
          <w:p w14:paraId="0CF7AFE0">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须负责项目服务人员的一切工资、绩效、福利（年终全勤奖、节日慰问费、餐费等）、社保等。服务期内如遇政府政策调整最低工资、社保缴费标准及税费，新标准与旧标准之间所产生的费用，由供应商支付相应的差额费用。供应商需为本项目所有服务人员购买的保险至少包括意外伤害保险。</w:t>
            </w:r>
          </w:p>
          <w:p w14:paraId="677AE13B">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（2）严格按照国家和成都市政府规定给项目服务人员缴纳各种社会保险，按月支付员工工资。</w:t>
            </w:r>
          </w:p>
          <w:p w14:paraId="4F09F847">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（3）每月提供项目服务人员花名册、相关支付凭证（社会保险金、工资等），同时提供服务费成本分解到科室的相关数据。本条资料交采购人保存作为考核依据。</w:t>
            </w:r>
          </w:p>
          <w:p w14:paraId="149462B6">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（4）服务人员引发的劳资、社保等纠纷与采购人无关；供应商因保险、工资等被政府行政部门查处与采购人无关。</w:t>
            </w:r>
          </w:p>
          <w:p w14:paraId="002FC8AA">
            <w:pPr>
              <w:keepNext w:val="0"/>
              <w:keepLines w:val="0"/>
              <w:widowControl/>
              <w:suppressLineNumbers w:val="0"/>
              <w:jc w:val="left"/>
              <w:rPr>
                <w:rFonts w:hint="default"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（5）员工因病假、产假、工伤休假等情况需临时安排人员顶岗的额外成本支出。</w:t>
            </w:r>
          </w:p>
          <w:p w14:paraId="26CD8B84">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24.供应商无正当理由，未按时支付本项目服务人员的工资或办理各种社保保险等福利的，逾期15天及以上的，采购人可终止本合作的履行，由此造成的损失和一切法律责任，由供应商自行承担。</w:t>
            </w:r>
          </w:p>
          <w:p w14:paraId="7D4DBA9D">
            <w:pPr>
              <w:keepNext w:val="0"/>
              <w:keepLines w:val="0"/>
              <w:widowControl/>
              <w:suppressLineNumbers w:val="0"/>
              <w:jc w:val="left"/>
              <w:rPr>
                <w:rFonts w:hint="default"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25.因本项目的服务需要保持持续性和稳定性，供应商应建立人员流失预案，确保人员补位在10个工作日内完成。</w:t>
            </w:r>
          </w:p>
          <w:p w14:paraId="0EFCF9A8">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26.供应商应配合相关部门，受理采购人单位内各类纠纷和治安案件，并配合医院对违规事件的调查，协助公安机关对案件的排查。</w:t>
            </w:r>
          </w:p>
        </w:tc>
      </w:tr>
      <w:tr w14:paraId="6BC2C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 w:type="pct"/>
          </w:tcPr>
          <w:p w14:paraId="5B4C67BF">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p>
        </w:tc>
        <w:tc>
          <w:tcPr>
            <w:tcW w:w="255" w:type="pct"/>
          </w:tcPr>
          <w:p w14:paraId="71121AA2">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p>
        </w:tc>
        <w:tc>
          <w:tcPr>
            <w:tcW w:w="572" w:type="pct"/>
          </w:tcPr>
          <w:p w14:paraId="12B45F0B">
            <w:pPr>
              <w:keepNext w:val="0"/>
              <w:keepLines w:val="0"/>
              <w:widowControl/>
              <w:suppressLineNumbers w:val="0"/>
              <w:jc w:val="left"/>
              <w:rPr>
                <w:rFonts w:hint="default"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其他服务要求</w:t>
            </w:r>
          </w:p>
        </w:tc>
        <w:tc>
          <w:tcPr>
            <w:tcW w:w="3916" w:type="pct"/>
          </w:tcPr>
          <w:p w14:paraId="61CE718B">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供应商提供的驻场管理人员应当为供应商正式员工，供应商需依法处理好该人员的保险及报酬，提供相应的符合本项目的劳动保护和劳动条件，费用由供应商承担，项目服务人员由供应商自行管理，采购人与供应商提供的服务人员不存在劳动、人事、雇佣、劳务、兼职或人身隶属关系。</w:t>
            </w:r>
          </w:p>
          <w:p w14:paraId="06BA4049">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2.采购人不提供项目服务人员的食宿。</w:t>
            </w:r>
          </w:p>
          <w:p w14:paraId="2D20C40E">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3.为确保服务质量和安全生产，采购人有权向供应商安排并下达工作任务，并按本项目约定检查、督促和考核供应商相关工作。若供应商工作质量或安全生产不达标，采购人有权要求供应商予以整改，若供应商不能按期整改的，造成采购人的实际损失全部由供应商承担。</w:t>
            </w:r>
          </w:p>
          <w:p w14:paraId="256B98B8">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4.本项目实行医院对服务商、科室对派驻人员两级考核制度。服务商须完全接受本考核体系，考核结果作为服务费结算、人员绩效发放、人员更换、合同违约处置的依据。</w:t>
            </w:r>
          </w:p>
          <w:p w14:paraId="20D5BA87">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（1）医院成立考核小组，由人事、护理、后勤、财务等科室人员组成，负责对服务商开展月度综合考核。考核标准详见（附件1）《辅助性服务项目月度考核表》</w:t>
            </w:r>
          </w:p>
          <w:p w14:paraId="241C092F">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（2）各业务科室负责本科室派驻辅助性服务人员的月度绩效考核，客观如实评价人员履职情况，按时提交《辅助性服务派驻人员月度绩效考核表》（附件2）及《辅助性服务月度满意度评分表》（附件3）。</w:t>
            </w:r>
          </w:p>
          <w:p w14:paraId="53829DDF">
            <w:pPr>
              <w:pStyle w:val="6"/>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（3）每月末，各科室完成派驻人员考核，将人员考核表及满意度评分表报送医院考核小组。</w:t>
            </w:r>
          </w:p>
          <w:p w14:paraId="09EA14EA">
            <w:pPr>
              <w:pStyle w:val="6"/>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（4）次月5日前，医院考核小组结合各科室人员考核结果、满意度评分、日常检查、投诉处置、台账资料完成服务商月度考核，形成《辅助性服务项目月度考核表》。</w:t>
            </w:r>
          </w:p>
          <w:p w14:paraId="02A05267">
            <w:pPr>
              <w:pStyle w:val="6"/>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（5）服务商对考核结果有异议的，可在收到考核结果后3个工作日内向医院考核小组书面提出复核申请，逾期视为认可考核结果。</w:t>
            </w:r>
          </w:p>
          <w:p w14:paraId="12B0EB3E">
            <w:pPr>
              <w:pStyle w:val="6"/>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（6）服务商月度考核结果，严格按照考核表结算比例执行，作为财务支付月度服务费依据。</w:t>
            </w:r>
          </w:p>
          <w:p w14:paraId="0156F4B4">
            <w:pPr>
              <w:pStyle w:val="6"/>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（7）科室出具的人员月度绩效考核表，是服务商计算派驻人员绩效工资的唯一依据，服务商不得自行更改考核结果；医院有权不定期抽查服务商工资、绩效发放记录。</w:t>
            </w:r>
          </w:p>
          <w:p w14:paraId="3D1B736D">
            <w:pPr>
              <w:pStyle w:val="6"/>
              <w:numPr>
                <w:ilvl w:val="0"/>
                <w:numId w:val="1"/>
              </w:numPr>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同一派驻人员连续2个月科室考核为不合格（＜60分），服务商必须在10个工作日内完成人员更换，新到岗人员资质须满足招标文件要求，并报医院备案。</w:t>
            </w:r>
          </w:p>
          <w:p w14:paraId="3C610AA0">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（9）如供应商月度考核分值连续2个月低于70分（不包含70分）的，采购人有权终止合同且不承担任何违约责任。</w:t>
            </w:r>
          </w:p>
          <w:p w14:paraId="2327AC4E">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5.服务期结束后，供应商应配合做好项目交接工作，包括项目服务人员的离场或移交。</w:t>
            </w:r>
          </w:p>
          <w:p w14:paraId="503A138F">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6.本项目服务人员出现下列情形，采购人有权无条件要求更换人员，不再支付该岗位人员当月服务费用，并视情况向供应商索赔：</w:t>
            </w:r>
          </w:p>
          <w:p w14:paraId="4CA755F9">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（1）严重违反采购人的规章制度的；</w:t>
            </w:r>
          </w:p>
          <w:p w14:paraId="6A46ABA0">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（2）出现违规、违纪、违法情形，包括发生违反行业廉洁、造成重大医疗事故或舆情、泄露患者隐私等行为；</w:t>
            </w:r>
          </w:p>
          <w:p w14:paraId="52ACD295">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（3）被行政拘留或依法追究刑事责任的；</w:t>
            </w:r>
          </w:p>
          <w:p w14:paraId="52942AE3">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（4）违反治安管理处罚法或存在贪污、盗窃、吸毒、赌博、卖淫嫖娼、酗酒闹事等违反公序良俗行为；</w:t>
            </w:r>
          </w:p>
          <w:p w14:paraId="2BAC594F">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（5）不具备政府规定的就业手续或岗位要求的资格准入条件的；</w:t>
            </w:r>
          </w:p>
          <w:p w14:paraId="503489AE">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（6）严重失职，出现失误，给采购人造成重大损失或损害（达到人民币1000元及以上）的；</w:t>
            </w:r>
          </w:p>
          <w:p w14:paraId="1A21A74A">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（7）在工作中出现提供虚假资料或不实的报告（包括但不限于医疗证明、工作记录与工作汇报等）等不诚信行为的；</w:t>
            </w:r>
          </w:p>
          <w:p w14:paraId="33EBDD71">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（8）考核不合格、不能胜任项目服务要求或拒绝采购人安排的项目服务内容的；</w:t>
            </w:r>
          </w:p>
          <w:p w14:paraId="333A01FA">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9）违背诚实信用原则，向采购人提供虚假个人信息或者隐瞒应当告知采购人的重要信息（如隐瞒曾经受过法律处罚或者纪律处分的事实、隐瞒自身身体状况不符合岗位要求、隐瞒身体心理不健康、重大疾病的事实等）；</w:t>
            </w:r>
          </w:p>
          <w:p w14:paraId="13E27E90">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（10）组织或参加非法团体及其活动，组织或参加罢工、罢教；在涉外活动中损害国家或采购人声誉利益；违反国家的民族、宗教政策的。</w:t>
            </w:r>
          </w:p>
          <w:p w14:paraId="1C88DAE4">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7.如供应商管理人员发现服务人员的工作方式、工作态度、工作能力存在不足，供应商应采取有效措施及时改进。对于经过教导仍不适合需求的服务人员，采购人保留要求更换人员的权利。</w:t>
            </w:r>
          </w:p>
          <w:p w14:paraId="29D74DAD">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8.供应商不得在服务期内将本项目的管理权转包或分包，否则采购人有权终止合同且不承担任何违约责任。</w:t>
            </w:r>
          </w:p>
          <w:p w14:paraId="51EC1B5A">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9.供应商对服务过程中了解到的采购人的商业秘密、信息数据、技术资料、患者隐私、工作信息等负有保密义务，不得私自外泄或用作其他用途，否则由供应商承担相应的责任。</w:t>
            </w:r>
          </w:p>
          <w:p w14:paraId="56830F97">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10.若因不可抗力（自然灾害、社会异常事件、政府强制紧急管控行为等）、政策变更等因素，采购人终止实施本项目的，采购人从次月起不再向供应商支付服务费且不承担任何违约责任，供应商应配合办理项目移交和服务人员离场工作。</w:t>
            </w:r>
          </w:p>
          <w:p w14:paraId="227D7F2A">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11.本服务项目中止或期满，供应商应配合采购人和新的供应商在30天内完成项目交接工作（至少包含项目相关资料、服务人员台账和工作表现、各岗位工作职责和排班情况、薪酬结构及计算标准、福利标准），交接完成5个工作日后方能离场。若供应商未完成工作交接，提前离场的，采购人有权不支付最后一个月服务费用，且不承担任何法律责任。</w:t>
            </w:r>
          </w:p>
          <w:p w14:paraId="5EA00EAA">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12.由于供应商提供的服务人员原因而导致采购人发生安全生产事故（国有资产损失、妨碍医院正常秩序、火灾、人身伤害、患者信息泄露）、供应商或其他任何第三方人身伤害和财产损失，供应商须承担全部责任并赔偿损失。情节严重的，采购人有权解除合同，所有责任及不利后果均由供应商承担；若相关损失已由采购人先行承担的，采购人有权向供应商追偿。</w:t>
            </w:r>
          </w:p>
          <w:p w14:paraId="3ABE832D">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13.供应商应了解从事放射相关工作的要求，熟悉职业健康体检及安全管理。</w:t>
            </w:r>
          </w:p>
          <w:p w14:paraId="5A87CBD4">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14.采购人有义务配合供应商进行服务满意度调查、员工培训等工作的开展。</w:t>
            </w:r>
          </w:p>
          <w:p w14:paraId="05C3C604">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15.供应商应对各项服务过程进行记录，对各项记录和数据进行分析，并制定相应的服务优化方案和计划，与采购人达成共识后执行。</w:t>
            </w:r>
          </w:p>
          <w:p w14:paraId="4BD105D3">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16.服务期内，采购人有权对供应商服务内容和工作计划进行调整。</w:t>
            </w:r>
          </w:p>
          <w:p w14:paraId="7BD32EAB">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p>
        </w:tc>
      </w:tr>
    </w:tbl>
    <w:p w14:paraId="5CCF2B94">
      <w:pPr>
        <w:pStyle w:val="6"/>
        <w:numPr>
          <w:ilvl w:val="0"/>
          <w:numId w:val="0"/>
        </w:numPr>
        <w:rPr>
          <w:rFonts w:hint="eastAsia" w:ascii="楷体" w:hAnsi="楷体" w:eastAsia="楷体" w:cs="楷体"/>
          <w:b/>
          <w:bCs/>
          <w:sz w:val="32"/>
          <w:szCs w:val="32"/>
          <w:highlight w:val="none"/>
          <w:lang w:val="en-US" w:eastAsia="zh-CN"/>
        </w:rPr>
      </w:pPr>
      <w:r>
        <w:rPr>
          <w:rFonts w:hint="eastAsia" w:ascii="楷体" w:hAnsi="楷体" w:eastAsia="楷体" w:cs="楷体"/>
          <w:b/>
          <w:bCs/>
          <w:sz w:val="32"/>
          <w:szCs w:val="32"/>
          <w:highlight w:val="none"/>
          <w:lang w:val="en-US" w:eastAsia="zh-CN"/>
        </w:rPr>
        <w:t>二、商务要求</w:t>
      </w:r>
    </w:p>
    <w:p w14:paraId="4368C6A7">
      <w:pPr>
        <w:keepNext w:val="0"/>
        <w:keepLines w:val="0"/>
        <w:pageBreakBefore w:val="0"/>
        <w:numPr>
          <w:ilvl w:val="0"/>
          <w:numId w:val="0"/>
        </w:numPr>
        <w:kinsoku/>
        <w:wordWrap w:val="0"/>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1.服务期限：三年，合同经考核合格后一年一签。</w:t>
      </w:r>
    </w:p>
    <w:p w14:paraId="760D9E58">
      <w:pPr>
        <w:keepNext w:val="0"/>
        <w:keepLines w:val="0"/>
        <w:pageBreakBefore w:val="0"/>
        <w:numPr>
          <w:ilvl w:val="0"/>
          <w:numId w:val="0"/>
        </w:numPr>
        <w:kinsoku/>
        <w:wordWrap w:val="0"/>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2.服务地点：成都市新津区人民医院（成都市新津区兴园十一路120号）</w:t>
      </w:r>
    </w:p>
    <w:p w14:paraId="1EFEB9D5">
      <w:pPr>
        <w:pStyle w:val="13"/>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3.付款方式及要求：</w:t>
      </w:r>
    </w:p>
    <w:p w14:paraId="7298193D">
      <w:pPr>
        <w:pStyle w:val="13"/>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3.</w:t>
      </w:r>
      <w:r>
        <w:rPr>
          <w:rFonts w:hint="eastAsia" w:ascii="仿宋_GB2312" w:hAnsi="仿宋_GB2312" w:eastAsia="仿宋_GB2312" w:cs="仿宋_GB2312"/>
          <w:kern w:val="2"/>
          <w:sz w:val="32"/>
          <w:szCs w:val="32"/>
          <w:highlight w:val="none"/>
          <w:lang w:val="en-US" w:eastAsia="zh-CN" w:bidi="ar-SA"/>
        </w:rPr>
        <w:t>1.采购人根据实际到岗人数每月据实结算上月服务费，到岗时间不足一月的，按实际服务天数据实结算（按照当月实际工作日天数为基数）。结算标准：结算单价*实际到岗人数。结算服务费用已包括供应商为履行本项目所涉及的全部可能费用、成本及支出，不得另行向采购人主张任何费用。</w:t>
      </w:r>
    </w:p>
    <w:p w14:paraId="7C281118">
      <w:pPr>
        <w:pStyle w:val="13"/>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3.2.采购人不接受供应商任何因遗漏报价而发生的费用追加。供应商应考虑服务期内的物价、政策等所有风险因素，在投标时自行预测并纳入投标总价中。</w:t>
      </w:r>
    </w:p>
    <w:p w14:paraId="4313F3C2">
      <w:pPr>
        <w:pStyle w:val="13"/>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3.3.本项目服务岗位的人员数量，采购人可根据工作需要在总量内进行实时调整，按调整后岗位人数及单价进行结算。</w:t>
      </w:r>
    </w:p>
    <w:p w14:paraId="038B249C">
      <w:pPr>
        <w:pStyle w:val="13"/>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4.采购人根据项目考核标准每月对供应商进行考核，并根据考核情况支付费用。</w:t>
      </w:r>
    </w:p>
    <w:p w14:paraId="0499D866">
      <w:pPr>
        <w:pStyle w:val="13"/>
        <w:jc w:val="left"/>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（1）考核得分≥90分的，按当月服务费用付款；</w:t>
      </w:r>
    </w:p>
    <w:p w14:paraId="727A54B9">
      <w:pPr>
        <w:pStyle w:val="13"/>
        <w:jc w:val="left"/>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（2）85分≤考核得分≤89分的，扣减当月服务费用的1%;</w:t>
      </w:r>
    </w:p>
    <w:p w14:paraId="5C712E5B">
      <w:pPr>
        <w:pStyle w:val="13"/>
        <w:jc w:val="left"/>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（3）80分≤考核得分≤84分，扣减当月服务费用的2%;</w:t>
      </w:r>
    </w:p>
    <w:p w14:paraId="3B7DAF12">
      <w:pPr>
        <w:pStyle w:val="13"/>
        <w:jc w:val="left"/>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（4）70分≤考核得分≤79分，扣减当月服务费用的5%；</w:t>
      </w:r>
    </w:p>
    <w:p w14:paraId="6C726BC5">
      <w:pPr>
        <w:pStyle w:val="13"/>
        <w:jc w:val="left"/>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（5）考核分数在70分以下的，扣减当月服务费用的10%。</w:t>
      </w:r>
    </w:p>
    <w:p w14:paraId="0603EC21">
      <w:pPr>
        <w:pStyle w:val="13"/>
        <w:jc w:val="left"/>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如考核分数低于85分，采购人同时就相关问题约谈供应商，供应商须提出相应的整改措施并在要求时限内完成整改。</w:t>
      </w:r>
    </w:p>
    <w:p w14:paraId="4431EE65">
      <w:pPr>
        <w:pStyle w:val="13"/>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5.每月结算一次费用，供应商须根据本项目成交单价及实际服务情况向采购人提供结算费用清单进行确认，并在确认后向采购人提交请款资料，采购人确认无误后，于10个工作日内向供应商全额支付上述结算费用。如存在因考核等原因导致的扣款，应在支付前予以扣除。</w:t>
      </w:r>
    </w:p>
    <w:p w14:paraId="6175D0B6">
      <w:pPr>
        <w:pStyle w:val="13"/>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default"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6.请款资料是指辅助性服务项目人员考勤表和费用明细表、辅助性服务项目月度考核表、辅助性服务派驻人员月度绩效考核表、辅助性服务科室月度满意度评分表及合法有效税票</w:t>
      </w:r>
      <w:r>
        <w:rPr>
          <w:rFonts w:hint="eastAsia" w:ascii="仿宋_GB2312" w:hAnsi="仿宋_GB2312" w:eastAsia="仿宋_GB2312" w:cs="仿宋_GB2312"/>
          <w:sz w:val="32"/>
          <w:szCs w:val="32"/>
          <w:highlight w:val="none"/>
          <w:lang w:val="en-US" w:eastAsia="zh-CN" w:bidi="ar-SA"/>
        </w:rPr>
        <w:t>。</w:t>
      </w:r>
    </w:p>
    <w:p w14:paraId="319011F0">
      <w:pPr>
        <w:keepNext w:val="0"/>
        <w:keepLines w:val="0"/>
        <w:pageBreakBefore w:val="0"/>
        <w:numPr>
          <w:ilvl w:val="0"/>
          <w:numId w:val="0"/>
        </w:numPr>
        <w:kinsoku/>
        <w:wordWrap w:val="0"/>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7.验收标准：按《财政部关于进一步加强政府采购需求和履约验收管理的指导意见》（财库〔2016〕205号）《政府采购需求管理办法》（财库〔2021〕22号）《成都市市级采购项目履约验收实施细则（试行）》（成财规〔2026〕1 号）等相关法律法规进行验收。其他未尽事宜按国家有关规定以及质量要求和技术指标、成交供应商的响应投标文件及承诺与合同约定标准进行验收。</w:t>
      </w:r>
    </w:p>
    <w:p w14:paraId="6CA16172">
      <w:pPr>
        <w:pStyle w:val="5"/>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8.考核要求：</w:t>
      </w:r>
      <w:r>
        <w:rPr>
          <w:rFonts w:hint="eastAsia" w:ascii="仿宋_GB2312" w:hAnsi="仿宋_GB2312" w:eastAsia="仿宋_GB2312" w:cs="仿宋_GB2312"/>
          <w:kern w:val="2"/>
          <w:sz w:val="32"/>
          <w:szCs w:val="32"/>
          <w:highlight w:val="none"/>
          <w:lang w:val="en-US" w:eastAsia="zh-CN" w:bidi="ar-SA"/>
        </w:rPr>
        <w:t>详见“附件：考核标准”（辅助性服务项目月度考核表、辅助性服务派驻人员月度绩效考核表、辅助性服务科室月度满意度评分表）。（考核内容无需供应商逐条在《服务应答表》中进行应答，供应商响应本项即视为接受并响应“考核标准”中所有内容）</w:t>
      </w:r>
    </w:p>
    <w:p w14:paraId="50E84EDA">
      <w:pPr>
        <w:pStyle w:val="6"/>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9.违约责任：</w:t>
      </w:r>
    </w:p>
    <w:p w14:paraId="086B84EC">
      <w:pPr>
        <w:pStyle w:val="6"/>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9.1.质量瑕疵的违约责任</w:t>
      </w:r>
    </w:p>
    <w:p w14:paraId="5CAE3866">
      <w:pPr>
        <w:pStyle w:val="6"/>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供应商提供的服务不符合合同约定的服务要求，采购人有权要求供应商承担更换服务人员、减少服务费等违约责任，并承担由此给采购人造成的全部损失。</w:t>
      </w:r>
    </w:p>
    <w:p w14:paraId="2AE7918C">
      <w:pPr>
        <w:pStyle w:val="6"/>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9.2.迟延履行的违约责任</w:t>
      </w:r>
    </w:p>
    <w:p w14:paraId="4C23074A">
      <w:pPr>
        <w:pStyle w:val="6"/>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9.2.1.供应商应按照本合同规定的时间、地点提供相关服务。在履行合同过程中，如果供应商遇到可能影响按时提供服务的情形时，应及时以书面形式将迟延的事实、可能迟延的期限和理由通知采购人。采购人在收到供应商通知后，应尽快对情况进行评价，并确定是否同意延期提供服务。</w:t>
      </w:r>
    </w:p>
    <w:p w14:paraId="425A6381">
      <w:pPr>
        <w:pStyle w:val="6"/>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9.2.2.如果供应商没有按照合同规定的时间提供相关服务，采购人有权从服务款中扣除误期赔偿费而不影响合同项下的其他补救方法，赔偿费的计算方法为：合同总金额的万分之五。如果涉及公共利益，且赔偿金额无法弥补公共利益损失，采购人可要求继续履行或者采取其他补救措施。</w:t>
      </w:r>
    </w:p>
    <w:p w14:paraId="22CF8FFC">
      <w:pPr>
        <w:pStyle w:val="6"/>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9.2.3.迟延支付的违约责任</w:t>
      </w:r>
    </w:p>
    <w:p w14:paraId="50515ED8">
      <w:pPr>
        <w:pStyle w:val="6"/>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采购人存在迟延支付供应商合同款项的，应当支付逾期付款利息，计算方法为：逾期付款金额的万分之五/天。</w:t>
      </w:r>
    </w:p>
    <w:p w14:paraId="7AA429A8">
      <w:pPr>
        <w:pStyle w:val="6"/>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9.3.违法分包、转包的违约责任</w:t>
      </w:r>
    </w:p>
    <w:p w14:paraId="4849402F">
      <w:pPr>
        <w:pStyle w:val="6"/>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供应商将项目转包、违法分包的，采购人可以解除合同，并要求供应商承担如下违约责任：向采购人赔偿合同金额的万分之五。</w:t>
      </w:r>
    </w:p>
    <w:p w14:paraId="423E92EF">
      <w:pPr>
        <w:pStyle w:val="6"/>
        <w:keepNext w:val="0"/>
        <w:keepLines w:val="0"/>
        <w:pageBreakBefore w:val="0"/>
        <w:widowControl w:val="0"/>
        <w:numPr>
          <w:ilvl w:val="0"/>
          <w:numId w:val="2"/>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解决争议：在执行合同中发生的或与合同有关的争端，双方应通过友好协商解决，经协商在30天内不能达成一致时，应选择以下解决方式： 向采购人所在地有管辖权的人民法院提起诉讼，诉讼产生相应的费用应由败诉方负担。在法院审理期间，除有争议部分外，合同其他部分可以履行的仍应按合同条款继续履行。</w:t>
      </w:r>
    </w:p>
    <w:p w14:paraId="02D6BE59">
      <w:pPr>
        <w:rPr>
          <w:rFonts w:hint="eastAsia" w:ascii="方正小标宋简体" w:hAnsi="方正小标宋简体" w:eastAsia="方正小标宋简体" w:cs="方正小标宋简体"/>
          <w:color w:val="000000"/>
          <w:kern w:val="0"/>
          <w:sz w:val="36"/>
          <w:szCs w:val="36"/>
          <w:lang w:val="en-US" w:eastAsia="zh-CN" w:bidi="ar"/>
        </w:rPr>
      </w:pPr>
      <w:r>
        <w:rPr>
          <w:rFonts w:hint="eastAsia" w:ascii="方正小标宋简体" w:hAnsi="方正小标宋简体" w:eastAsia="方正小标宋简体" w:cs="方正小标宋简体"/>
          <w:color w:val="000000"/>
          <w:kern w:val="0"/>
          <w:sz w:val="36"/>
          <w:szCs w:val="36"/>
          <w:lang w:val="en-US" w:eastAsia="zh-CN" w:bidi="ar"/>
        </w:rPr>
        <w:br w:type="page"/>
      </w:r>
    </w:p>
    <w:p w14:paraId="7113EC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default" w:ascii="方正小标宋简体" w:hAnsi="方正小标宋简体" w:eastAsia="方正小标宋简体" w:cs="方正小标宋简体"/>
          <w:color w:val="000000"/>
          <w:kern w:val="0"/>
          <w:sz w:val="36"/>
          <w:szCs w:val="36"/>
          <w:lang w:val="en-US" w:eastAsia="zh-CN" w:bidi="ar"/>
        </w:rPr>
      </w:pPr>
      <w:r>
        <w:rPr>
          <w:rFonts w:hint="eastAsia" w:ascii="方正小标宋简体" w:hAnsi="方正小标宋简体" w:eastAsia="方正小标宋简体" w:cs="方正小标宋简体"/>
          <w:color w:val="000000"/>
          <w:kern w:val="0"/>
          <w:sz w:val="36"/>
          <w:szCs w:val="36"/>
          <w:lang w:val="en-US" w:eastAsia="zh-CN" w:bidi="ar"/>
        </w:rPr>
        <w:t>附件：</w:t>
      </w:r>
    </w:p>
    <w:p w14:paraId="1167955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rFonts w:hint="eastAsia" w:ascii="方正小标宋简体" w:hAnsi="方正小标宋简体" w:eastAsia="方正小标宋简体" w:cs="方正小标宋简体"/>
          <w:color w:val="000000"/>
          <w:kern w:val="0"/>
          <w:sz w:val="36"/>
          <w:szCs w:val="36"/>
          <w:lang w:val="en-US" w:eastAsia="zh-CN" w:bidi="ar"/>
        </w:rPr>
      </w:pPr>
      <w:r>
        <w:rPr>
          <w:rFonts w:hint="eastAsia" w:ascii="方正小标宋简体" w:hAnsi="方正小标宋简体" w:eastAsia="方正小标宋简体" w:cs="方正小标宋简体"/>
          <w:color w:val="000000"/>
          <w:kern w:val="0"/>
          <w:sz w:val="36"/>
          <w:szCs w:val="36"/>
          <w:lang w:val="en-US" w:eastAsia="zh-CN" w:bidi="ar"/>
        </w:rPr>
        <w:t>成都市新津区人民医院辅助性服务项目月度考核表</w:t>
      </w:r>
    </w:p>
    <w:p w14:paraId="6C9F5C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rFonts w:hint="eastAsia" w:ascii="方正小标宋简体" w:hAnsi="方正小标宋简体" w:eastAsia="方正小标宋简体" w:cs="方正小标宋简体"/>
          <w:color w:val="000000"/>
          <w:kern w:val="0"/>
          <w:sz w:val="36"/>
          <w:szCs w:val="36"/>
          <w:lang w:val="en-US" w:eastAsia="zh-CN" w:bidi="ar"/>
        </w:rPr>
      </w:pPr>
    </w:p>
    <w:p w14:paraId="03A2C06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Style w:val="10"/>
          <w:rFonts w:ascii="宋体" w:hAnsi="宋体" w:eastAsia="宋体" w:cs="宋体"/>
          <w:b w:val="0"/>
          <w:bCs w:val="0"/>
          <w:color w:val="000000"/>
          <w:kern w:val="0"/>
          <w:sz w:val="24"/>
          <w:szCs w:val="24"/>
          <w:lang w:val="en-US" w:eastAsia="zh-CN" w:bidi="ar"/>
        </w:rPr>
      </w:pPr>
      <w:r>
        <w:rPr>
          <w:rFonts w:ascii="宋体" w:hAnsi="宋体" w:eastAsia="宋体" w:cs="宋体"/>
          <w:color w:val="000000"/>
          <w:kern w:val="0"/>
          <w:sz w:val="24"/>
          <w:szCs w:val="24"/>
          <w:lang w:val="en-US" w:eastAsia="zh-CN" w:bidi="ar"/>
        </w:rPr>
        <w:t>考核周期：</w:t>
      </w:r>
      <w:r>
        <w:rPr>
          <w:rStyle w:val="10"/>
          <w:rFonts w:ascii="宋体" w:hAnsi="宋体" w:eastAsia="宋体" w:cs="宋体"/>
          <w:b/>
          <w:bCs/>
          <w:color w:val="000000"/>
          <w:kern w:val="0"/>
          <w:sz w:val="24"/>
          <w:szCs w:val="24"/>
          <w:lang w:val="en-US" w:eastAsia="zh-CN" w:bidi="ar"/>
        </w:rPr>
        <w:t>____</w:t>
      </w:r>
      <w:r>
        <w:rPr>
          <w:rFonts w:hint="eastAsia" w:ascii="宋体" w:hAnsi="宋体" w:eastAsia="宋体" w:cs="宋体"/>
          <w:color w:val="000000"/>
          <w:kern w:val="0"/>
          <w:sz w:val="24"/>
          <w:szCs w:val="24"/>
          <w:lang w:val="en-US" w:eastAsia="zh-CN" w:bidi="ar"/>
        </w:rPr>
        <w:t xml:space="preserve"> </w:t>
      </w:r>
      <w:r>
        <w:rPr>
          <w:rStyle w:val="10"/>
          <w:rFonts w:ascii="宋体" w:hAnsi="宋体" w:eastAsia="宋体" w:cs="宋体"/>
          <w:b w:val="0"/>
          <w:bCs w:val="0"/>
          <w:color w:val="000000"/>
          <w:kern w:val="0"/>
          <w:sz w:val="24"/>
          <w:szCs w:val="24"/>
          <w:lang w:val="en-US" w:eastAsia="zh-CN" w:bidi="ar"/>
        </w:rPr>
        <w:t>年____月</w:t>
      </w:r>
    </w:p>
    <w:p w14:paraId="06B47EB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r>
        <w:rPr>
          <w:rStyle w:val="10"/>
          <w:rFonts w:ascii="宋体" w:hAnsi="宋体" w:eastAsia="宋体" w:cs="宋体"/>
          <w:b w:val="0"/>
          <w:bCs w:val="0"/>
          <w:color w:val="000000"/>
          <w:kern w:val="0"/>
          <w:sz w:val="24"/>
          <w:szCs w:val="24"/>
          <w:lang w:val="en-US" w:eastAsia="zh-CN" w:bidi="ar"/>
        </w:rPr>
        <w:t>服务商名称：</w:t>
      </w:r>
      <w:r>
        <w:rPr>
          <w:rFonts w:ascii="宋体" w:hAnsi="宋体" w:eastAsia="宋体" w:cs="宋体"/>
          <w:b w:val="0"/>
          <w:bCs w:val="0"/>
          <w:color w:val="000000"/>
          <w:kern w:val="0"/>
          <w:sz w:val="24"/>
          <w:szCs w:val="24"/>
          <w:lang w:val="en-US" w:eastAsia="zh-CN" w:bidi="ar"/>
        </w:rPr>
        <w:t>_________</w:t>
      </w:r>
      <w:r>
        <w:rPr>
          <w:rFonts w:ascii="宋体" w:hAnsi="宋体" w:eastAsia="宋体" w:cs="宋体"/>
          <w:color w:val="000000"/>
          <w:kern w:val="0"/>
          <w:sz w:val="24"/>
          <w:szCs w:val="24"/>
          <w:lang w:val="en-US" w:eastAsia="zh-CN" w:bidi="ar"/>
        </w:rPr>
        <w:t>___________</w:t>
      </w:r>
    </w:p>
    <w:p w14:paraId="4CCAEA0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考核组织：医院考核小组（</w:t>
      </w:r>
      <w:r>
        <w:rPr>
          <w:rFonts w:hint="eastAsia" w:ascii="宋体" w:hAnsi="宋体" w:eastAsia="宋体" w:cs="宋体"/>
          <w:color w:val="000000"/>
          <w:kern w:val="0"/>
          <w:sz w:val="24"/>
          <w:szCs w:val="24"/>
          <w:lang w:val="en-US" w:eastAsia="zh-CN" w:bidi="ar"/>
        </w:rPr>
        <w:t>组织人事部</w:t>
      </w:r>
      <w:r>
        <w:rPr>
          <w:rFonts w:ascii="宋体" w:hAnsi="宋体" w:eastAsia="宋体" w:cs="宋体"/>
          <w:color w:val="000000"/>
          <w:kern w:val="0"/>
          <w:sz w:val="24"/>
          <w:szCs w:val="24"/>
          <w:lang w:val="en-US" w:eastAsia="zh-CN" w:bidi="ar"/>
        </w:rPr>
        <w:t>、</w:t>
      </w:r>
      <w:r>
        <w:rPr>
          <w:rFonts w:hint="eastAsia" w:ascii="宋体" w:hAnsi="宋体" w:cs="宋体"/>
          <w:color w:val="000000"/>
          <w:kern w:val="0"/>
          <w:sz w:val="24"/>
          <w:szCs w:val="24"/>
          <w:lang w:val="en-US" w:eastAsia="zh-CN" w:bidi="ar"/>
        </w:rPr>
        <w:t>护理部、医务部、后勤保卫部、财务部</w:t>
      </w:r>
      <w:r>
        <w:rPr>
          <w:rFonts w:ascii="宋体" w:hAnsi="宋体" w:eastAsia="宋体" w:cs="宋体"/>
          <w:color w:val="000000"/>
          <w:kern w:val="0"/>
          <w:sz w:val="24"/>
          <w:szCs w:val="24"/>
          <w:lang w:val="en-US" w:eastAsia="zh-CN" w:bidi="ar"/>
        </w:rPr>
        <w:t>）总分：100 分，考核结果直接用于当月服务费结算</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847"/>
        <w:gridCol w:w="2980"/>
        <w:gridCol w:w="1010"/>
        <w:gridCol w:w="1981"/>
      </w:tblGrid>
      <w:tr w14:paraId="1CE23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704" w:type="dxa"/>
            <w:noWrap w:val="0"/>
            <w:vAlign w:val="center"/>
          </w:tcPr>
          <w:p w14:paraId="6ED0DE87">
            <w:pPr>
              <w:jc w:val="center"/>
              <w:rPr>
                <w:rFonts w:hint="default" w:eastAsia="宋体"/>
                <w:b/>
                <w:bCs/>
                <w:vertAlign w:val="baseline"/>
                <w:lang w:val="en-US" w:eastAsia="zh-CN"/>
              </w:rPr>
            </w:pPr>
            <w:r>
              <w:rPr>
                <w:rFonts w:hint="eastAsia"/>
                <w:b/>
                <w:bCs/>
                <w:vertAlign w:val="baseline"/>
                <w:lang w:val="en-US" w:eastAsia="zh-CN"/>
              </w:rPr>
              <w:t>考核大类</w:t>
            </w:r>
          </w:p>
        </w:tc>
        <w:tc>
          <w:tcPr>
            <w:tcW w:w="847" w:type="dxa"/>
            <w:noWrap w:val="0"/>
            <w:vAlign w:val="center"/>
          </w:tcPr>
          <w:p w14:paraId="07621EB7">
            <w:pPr>
              <w:jc w:val="center"/>
              <w:rPr>
                <w:rFonts w:hint="default" w:eastAsia="宋体"/>
                <w:b/>
                <w:bCs/>
                <w:vertAlign w:val="baseline"/>
                <w:lang w:val="en-US" w:eastAsia="zh-CN"/>
              </w:rPr>
            </w:pPr>
            <w:r>
              <w:rPr>
                <w:rFonts w:hint="eastAsia"/>
                <w:b/>
                <w:bCs/>
                <w:vertAlign w:val="baseline"/>
                <w:lang w:val="en-US" w:eastAsia="zh-CN"/>
              </w:rPr>
              <w:t>分值</w:t>
            </w:r>
          </w:p>
        </w:tc>
        <w:tc>
          <w:tcPr>
            <w:tcW w:w="2980" w:type="dxa"/>
            <w:noWrap w:val="0"/>
            <w:vAlign w:val="center"/>
          </w:tcPr>
          <w:p w14:paraId="1171F236">
            <w:pPr>
              <w:jc w:val="center"/>
              <w:rPr>
                <w:rFonts w:hint="default" w:eastAsia="宋体"/>
                <w:b/>
                <w:bCs/>
                <w:vertAlign w:val="baseline"/>
                <w:lang w:val="en-US" w:eastAsia="zh-CN"/>
              </w:rPr>
            </w:pPr>
            <w:r>
              <w:rPr>
                <w:rFonts w:hint="eastAsia"/>
                <w:b/>
                <w:bCs/>
                <w:vertAlign w:val="baseline"/>
                <w:lang w:val="en-US" w:eastAsia="zh-CN"/>
              </w:rPr>
              <w:t>考核标准</w:t>
            </w:r>
          </w:p>
        </w:tc>
        <w:tc>
          <w:tcPr>
            <w:tcW w:w="1010" w:type="dxa"/>
            <w:noWrap w:val="0"/>
            <w:vAlign w:val="center"/>
          </w:tcPr>
          <w:p w14:paraId="3175FF77">
            <w:pPr>
              <w:jc w:val="center"/>
              <w:rPr>
                <w:rFonts w:hint="default" w:eastAsia="宋体"/>
                <w:b/>
                <w:bCs/>
                <w:vertAlign w:val="baseline"/>
                <w:lang w:val="en-US" w:eastAsia="zh-CN"/>
              </w:rPr>
            </w:pPr>
            <w:r>
              <w:rPr>
                <w:rFonts w:hint="eastAsia"/>
                <w:b/>
                <w:bCs/>
                <w:vertAlign w:val="baseline"/>
                <w:lang w:val="en-US" w:eastAsia="zh-CN"/>
              </w:rPr>
              <w:t>实际得分</w:t>
            </w:r>
          </w:p>
        </w:tc>
        <w:tc>
          <w:tcPr>
            <w:tcW w:w="1981" w:type="dxa"/>
            <w:noWrap w:val="0"/>
            <w:vAlign w:val="center"/>
          </w:tcPr>
          <w:p w14:paraId="223BF535">
            <w:pPr>
              <w:jc w:val="center"/>
              <w:rPr>
                <w:rFonts w:hint="default" w:eastAsia="宋体"/>
                <w:b/>
                <w:bCs/>
                <w:vertAlign w:val="baseline"/>
                <w:lang w:val="en-US" w:eastAsia="zh-CN"/>
              </w:rPr>
            </w:pPr>
            <w:r>
              <w:rPr>
                <w:rFonts w:hint="eastAsia"/>
                <w:b/>
                <w:bCs/>
                <w:vertAlign w:val="baseline"/>
                <w:lang w:val="en-US" w:eastAsia="zh-CN"/>
              </w:rPr>
              <w:t>扣分说明</w:t>
            </w:r>
          </w:p>
        </w:tc>
      </w:tr>
      <w:tr w14:paraId="5EE67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5869F02F">
            <w:pPr>
              <w:jc w:val="center"/>
              <w:rPr>
                <w:vertAlign w:val="baseline"/>
              </w:rPr>
            </w:pPr>
            <w:r>
              <w:rPr>
                <w:rFonts w:ascii="宋体" w:hAnsi="宋体" w:eastAsia="宋体" w:cs="宋体"/>
                <w:sz w:val="24"/>
                <w:szCs w:val="24"/>
              </w:rPr>
              <w:t>人员配置保障</w:t>
            </w:r>
          </w:p>
        </w:tc>
        <w:tc>
          <w:tcPr>
            <w:tcW w:w="847" w:type="dxa"/>
            <w:noWrap w:val="0"/>
            <w:vAlign w:val="center"/>
          </w:tcPr>
          <w:p w14:paraId="4780E4F8">
            <w:pPr>
              <w:jc w:val="center"/>
              <w:rPr>
                <w:rFonts w:hint="default" w:eastAsia="宋体"/>
                <w:vertAlign w:val="baseline"/>
                <w:lang w:val="en-US" w:eastAsia="zh-CN"/>
              </w:rPr>
            </w:pPr>
            <w:r>
              <w:rPr>
                <w:rFonts w:hint="eastAsia"/>
                <w:vertAlign w:val="baseline"/>
                <w:lang w:val="en-US" w:eastAsia="zh-CN"/>
              </w:rPr>
              <w:t>30</w:t>
            </w:r>
          </w:p>
        </w:tc>
        <w:tc>
          <w:tcPr>
            <w:tcW w:w="2980" w:type="dxa"/>
            <w:noWrap w:val="0"/>
            <w:vAlign w:val="center"/>
          </w:tcPr>
          <w:p w14:paraId="0AC71EFC">
            <w:pPr>
              <w:jc w:val="center"/>
              <w:rPr>
                <w:vertAlign w:val="baseline"/>
              </w:rPr>
            </w:pPr>
            <w:r>
              <w:rPr>
                <w:rFonts w:ascii="宋体" w:hAnsi="宋体" w:eastAsia="宋体" w:cs="宋体"/>
                <w:sz w:val="24"/>
                <w:szCs w:val="24"/>
              </w:rPr>
              <w:t>人员足额到岗，缺岗、擅自换人、补位超时、人员资质不达标，按人次</w:t>
            </w:r>
            <w:r>
              <w:rPr>
                <w:rFonts w:hint="eastAsia" w:ascii="宋体" w:hAnsi="宋体" w:eastAsia="宋体" w:cs="宋体"/>
                <w:sz w:val="24"/>
                <w:szCs w:val="24"/>
                <w:lang w:val="en-US" w:eastAsia="zh-CN"/>
              </w:rPr>
              <w:t>每</w:t>
            </w:r>
            <w:r>
              <w:rPr>
                <w:rFonts w:ascii="宋体" w:hAnsi="宋体" w:eastAsia="宋体" w:cs="宋体"/>
                <w:sz w:val="24"/>
                <w:szCs w:val="24"/>
              </w:rPr>
              <w:t>次酌情扣 3</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w:t>
            </w:r>
            <w:r>
              <w:rPr>
                <w:rFonts w:ascii="宋体" w:hAnsi="宋体" w:eastAsia="宋体" w:cs="宋体"/>
                <w:sz w:val="24"/>
                <w:szCs w:val="24"/>
              </w:rPr>
              <w:t>分</w:t>
            </w:r>
          </w:p>
        </w:tc>
        <w:tc>
          <w:tcPr>
            <w:tcW w:w="1010" w:type="dxa"/>
            <w:noWrap w:val="0"/>
            <w:vAlign w:val="center"/>
          </w:tcPr>
          <w:p w14:paraId="677E0CDB">
            <w:pPr>
              <w:jc w:val="center"/>
              <w:rPr>
                <w:vertAlign w:val="baseline"/>
              </w:rPr>
            </w:pPr>
          </w:p>
        </w:tc>
        <w:tc>
          <w:tcPr>
            <w:tcW w:w="1981" w:type="dxa"/>
            <w:noWrap w:val="0"/>
            <w:vAlign w:val="center"/>
          </w:tcPr>
          <w:p w14:paraId="293F56D8">
            <w:pPr>
              <w:jc w:val="center"/>
              <w:rPr>
                <w:vertAlign w:val="baseline"/>
              </w:rPr>
            </w:pPr>
          </w:p>
        </w:tc>
      </w:tr>
      <w:tr w14:paraId="44476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75B5B135">
            <w:pPr>
              <w:jc w:val="center"/>
              <w:rPr>
                <w:vertAlign w:val="baseline"/>
              </w:rPr>
            </w:pPr>
            <w:r>
              <w:rPr>
                <w:rFonts w:ascii="宋体" w:hAnsi="宋体" w:eastAsia="宋体" w:cs="宋体"/>
                <w:sz w:val="24"/>
                <w:szCs w:val="24"/>
              </w:rPr>
              <w:t>培训与内部管理</w:t>
            </w:r>
          </w:p>
        </w:tc>
        <w:tc>
          <w:tcPr>
            <w:tcW w:w="847" w:type="dxa"/>
            <w:noWrap w:val="0"/>
            <w:vAlign w:val="center"/>
          </w:tcPr>
          <w:p w14:paraId="519FD93F">
            <w:pPr>
              <w:jc w:val="center"/>
              <w:rPr>
                <w:rFonts w:hint="default" w:eastAsia="宋体"/>
                <w:vertAlign w:val="baseline"/>
                <w:lang w:val="en-US" w:eastAsia="zh-CN"/>
              </w:rPr>
            </w:pPr>
            <w:r>
              <w:rPr>
                <w:rFonts w:hint="eastAsia" w:eastAsia="宋体"/>
                <w:vertAlign w:val="baseline"/>
                <w:lang w:val="en-US" w:eastAsia="zh-CN"/>
              </w:rPr>
              <w:t>15</w:t>
            </w:r>
          </w:p>
        </w:tc>
        <w:tc>
          <w:tcPr>
            <w:tcW w:w="2980" w:type="dxa"/>
            <w:noWrap w:val="0"/>
            <w:vAlign w:val="center"/>
          </w:tcPr>
          <w:p w14:paraId="6174D862">
            <w:pPr>
              <w:jc w:val="center"/>
              <w:rPr>
                <w:vertAlign w:val="baseline"/>
              </w:rPr>
            </w:pPr>
            <w:r>
              <w:rPr>
                <w:rFonts w:ascii="宋体" w:hAnsi="宋体" w:eastAsia="宋体" w:cs="宋体"/>
                <w:sz w:val="24"/>
                <w:szCs w:val="24"/>
              </w:rPr>
              <w:t>落实岗前及月度培训；劳动合同、社保、工资台账齐全；无查实的员工劳资投诉，缺项</w:t>
            </w:r>
            <w:r>
              <w:rPr>
                <w:rFonts w:hint="eastAsia" w:ascii="宋体" w:hAnsi="宋体" w:eastAsia="宋体" w:cs="宋体"/>
                <w:sz w:val="24"/>
                <w:szCs w:val="24"/>
                <w:lang w:val="en-US" w:eastAsia="zh-CN"/>
              </w:rPr>
              <w:t>每项</w:t>
            </w:r>
            <w:r>
              <w:rPr>
                <w:rFonts w:ascii="宋体" w:hAnsi="宋体" w:eastAsia="宋体" w:cs="宋体"/>
                <w:sz w:val="24"/>
                <w:szCs w:val="24"/>
              </w:rPr>
              <w:t>酌情扣 3</w:t>
            </w:r>
            <w:r>
              <w:rPr>
                <w:rFonts w:hint="eastAsia" w:ascii="宋体" w:hAnsi="宋体" w:eastAsia="宋体" w:cs="宋体"/>
                <w:sz w:val="24"/>
                <w:szCs w:val="24"/>
                <w:lang w:eastAsia="zh-CN"/>
              </w:rPr>
              <w:t>—</w:t>
            </w:r>
            <w:r>
              <w:rPr>
                <w:rFonts w:ascii="宋体" w:hAnsi="宋体" w:eastAsia="宋体" w:cs="宋体"/>
                <w:sz w:val="24"/>
                <w:szCs w:val="24"/>
              </w:rPr>
              <w:t>5分</w:t>
            </w:r>
          </w:p>
        </w:tc>
        <w:tc>
          <w:tcPr>
            <w:tcW w:w="1010" w:type="dxa"/>
            <w:noWrap w:val="0"/>
            <w:vAlign w:val="center"/>
          </w:tcPr>
          <w:p w14:paraId="78CA7A0B">
            <w:pPr>
              <w:jc w:val="center"/>
              <w:rPr>
                <w:vertAlign w:val="baseline"/>
              </w:rPr>
            </w:pPr>
          </w:p>
        </w:tc>
        <w:tc>
          <w:tcPr>
            <w:tcW w:w="1981" w:type="dxa"/>
            <w:noWrap w:val="0"/>
            <w:vAlign w:val="center"/>
          </w:tcPr>
          <w:p w14:paraId="0B099247">
            <w:pPr>
              <w:jc w:val="center"/>
              <w:rPr>
                <w:vertAlign w:val="baseline"/>
              </w:rPr>
            </w:pPr>
          </w:p>
        </w:tc>
      </w:tr>
      <w:tr w14:paraId="4E1CC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488B5460">
            <w:pPr>
              <w:jc w:val="center"/>
              <w:rPr>
                <w:vertAlign w:val="baseline"/>
              </w:rPr>
            </w:pPr>
            <w:r>
              <w:rPr>
                <w:rFonts w:ascii="宋体" w:hAnsi="宋体" w:eastAsia="宋体" w:cs="宋体"/>
                <w:sz w:val="24"/>
                <w:szCs w:val="24"/>
              </w:rPr>
              <w:t>服务质量及满意度</w:t>
            </w:r>
          </w:p>
        </w:tc>
        <w:tc>
          <w:tcPr>
            <w:tcW w:w="847" w:type="dxa"/>
            <w:noWrap w:val="0"/>
            <w:vAlign w:val="center"/>
          </w:tcPr>
          <w:p w14:paraId="2B26B265">
            <w:pPr>
              <w:jc w:val="center"/>
              <w:rPr>
                <w:rFonts w:hint="default" w:eastAsia="宋体"/>
                <w:vertAlign w:val="baseline"/>
                <w:lang w:val="en-US" w:eastAsia="zh-CN"/>
              </w:rPr>
            </w:pPr>
            <w:r>
              <w:rPr>
                <w:rFonts w:hint="eastAsia" w:eastAsia="宋体"/>
                <w:vertAlign w:val="baseline"/>
                <w:lang w:val="en-US" w:eastAsia="zh-CN"/>
              </w:rPr>
              <w:t>20</w:t>
            </w:r>
          </w:p>
        </w:tc>
        <w:tc>
          <w:tcPr>
            <w:tcW w:w="2980" w:type="dxa"/>
            <w:noWrap w:val="0"/>
            <w:vAlign w:val="center"/>
          </w:tcPr>
          <w:p w14:paraId="7D706C59">
            <w:pPr>
              <w:jc w:val="center"/>
              <w:rPr>
                <w:vertAlign w:val="baseline"/>
              </w:rPr>
            </w:pPr>
            <w:r>
              <w:rPr>
                <w:rFonts w:ascii="宋体" w:hAnsi="宋体" w:eastAsia="宋体" w:cs="宋体"/>
                <w:sz w:val="24"/>
                <w:szCs w:val="24"/>
              </w:rPr>
              <w:t>综合各科室</w:t>
            </w:r>
            <w:r>
              <w:rPr>
                <w:rFonts w:hint="eastAsia" w:ascii="宋体" w:hAnsi="宋体" w:cs="宋体"/>
                <w:sz w:val="24"/>
                <w:szCs w:val="24"/>
                <w:lang w:val="en-US" w:eastAsia="zh-CN"/>
              </w:rPr>
              <w:t>满意度调查得分</w:t>
            </w:r>
            <w:r>
              <w:rPr>
                <w:rFonts w:ascii="宋体" w:hAnsi="宋体" w:eastAsia="宋体" w:cs="宋体"/>
                <w:sz w:val="24"/>
                <w:szCs w:val="24"/>
              </w:rPr>
              <w:t>；查实患者、职工有效服务投诉；投诉未闭环处置，每起扣5分</w:t>
            </w:r>
          </w:p>
        </w:tc>
        <w:tc>
          <w:tcPr>
            <w:tcW w:w="1010" w:type="dxa"/>
            <w:noWrap w:val="0"/>
            <w:vAlign w:val="center"/>
          </w:tcPr>
          <w:p w14:paraId="2DFBA995">
            <w:pPr>
              <w:jc w:val="center"/>
              <w:rPr>
                <w:vertAlign w:val="baseline"/>
              </w:rPr>
            </w:pPr>
          </w:p>
        </w:tc>
        <w:tc>
          <w:tcPr>
            <w:tcW w:w="1981" w:type="dxa"/>
            <w:noWrap w:val="0"/>
            <w:vAlign w:val="center"/>
          </w:tcPr>
          <w:p w14:paraId="501876F5">
            <w:pPr>
              <w:jc w:val="center"/>
              <w:rPr>
                <w:vertAlign w:val="baseline"/>
              </w:rPr>
            </w:pPr>
          </w:p>
        </w:tc>
      </w:tr>
      <w:tr w14:paraId="632AF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48E30787">
            <w:pPr>
              <w:jc w:val="center"/>
              <w:rPr>
                <w:vertAlign w:val="baseline"/>
              </w:rPr>
            </w:pPr>
            <w:r>
              <w:rPr>
                <w:rFonts w:ascii="宋体" w:hAnsi="宋体" w:eastAsia="宋体" w:cs="宋体"/>
                <w:sz w:val="24"/>
                <w:szCs w:val="24"/>
              </w:rPr>
              <w:t>院感、安全与保密管理</w:t>
            </w:r>
          </w:p>
        </w:tc>
        <w:tc>
          <w:tcPr>
            <w:tcW w:w="847" w:type="dxa"/>
            <w:noWrap w:val="0"/>
            <w:vAlign w:val="center"/>
          </w:tcPr>
          <w:p w14:paraId="6E5C5331">
            <w:pPr>
              <w:jc w:val="center"/>
              <w:rPr>
                <w:rFonts w:hint="default" w:eastAsia="宋体"/>
                <w:vertAlign w:val="baseline"/>
                <w:lang w:val="en-US" w:eastAsia="zh-CN"/>
              </w:rPr>
            </w:pPr>
            <w:r>
              <w:rPr>
                <w:rFonts w:hint="eastAsia" w:eastAsia="宋体"/>
                <w:vertAlign w:val="baseline"/>
                <w:lang w:val="en-US" w:eastAsia="zh-CN"/>
              </w:rPr>
              <w:t>15</w:t>
            </w:r>
          </w:p>
        </w:tc>
        <w:tc>
          <w:tcPr>
            <w:tcW w:w="2980" w:type="dxa"/>
            <w:noWrap w:val="0"/>
            <w:vAlign w:val="center"/>
          </w:tcPr>
          <w:p w14:paraId="3836CC69">
            <w:pPr>
              <w:jc w:val="center"/>
              <w:rPr>
                <w:vertAlign w:val="baseline"/>
              </w:rPr>
            </w:pPr>
            <w:r>
              <w:rPr>
                <w:rFonts w:ascii="宋体" w:hAnsi="宋体" w:eastAsia="宋体" w:cs="宋体"/>
                <w:sz w:val="24"/>
                <w:szCs w:val="24"/>
              </w:rPr>
              <w:t>落实院感、安全制度；严禁泄露病案、患者信息；发生泄密本项计0分，隐患未整改酌情扣</w:t>
            </w:r>
            <w:r>
              <w:rPr>
                <w:rFonts w:hint="eastAsia" w:ascii="宋体" w:hAnsi="宋体" w:eastAsia="宋体" w:cs="宋体"/>
                <w:sz w:val="24"/>
                <w:szCs w:val="24"/>
                <w:lang w:val="en-US" w:eastAsia="zh-CN"/>
              </w:rPr>
              <w:t>5—</w:t>
            </w:r>
            <w:r>
              <w:rPr>
                <w:rFonts w:ascii="宋体" w:hAnsi="宋体" w:eastAsia="宋体" w:cs="宋体"/>
                <w:sz w:val="24"/>
                <w:szCs w:val="24"/>
              </w:rPr>
              <w:t>15分</w:t>
            </w:r>
          </w:p>
        </w:tc>
        <w:tc>
          <w:tcPr>
            <w:tcW w:w="1010" w:type="dxa"/>
            <w:noWrap w:val="0"/>
            <w:vAlign w:val="center"/>
          </w:tcPr>
          <w:p w14:paraId="5361E4E7">
            <w:pPr>
              <w:jc w:val="center"/>
              <w:rPr>
                <w:vertAlign w:val="baseline"/>
              </w:rPr>
            </w:pPr>
          </w:p>
        </w:tc>
        <w:tc>
          <w:tcPr>
            <w:tcW w:w="1981" w:type="dxa"/>
            <w:noWrap w:val="0"/>
            <w:vAlign w:val="center"/>
          </w:tcPr>
          <w:p w14:paraId="036AE9EA">
            <w:pPr>
              <w:jc w:val="center"/>
              <w:rPr>
                <w:vertAlign w:val="baseline"/>
              </w:rPr>
            </w:pPr>
          </w:p>
        </w:tc>
      </w:tr>
      <w:tr w14:paraId="4B735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4952253A">
            <w:pPr>
              <w:jc w:val="center"/>
              <w:rPr>
                <w:vertAlign w:val="baseline"/>
              </w:rPr>
            </w:pPr>
            <w:r>
              <w:rPr>
                <w:rFonts w:ascii="宋体" w:hAnsi="宋体" w:eastAsia="宋体" w:cs="宋体"/>
                <w:sz w:val="24"/>
                <w:szCs w:val="24"/>
              </w:rPr>
              <w:t>问题整改及应急响应</w:t>
            </w:r>
          </w:p>
        </w:tc>
        <w:tc>
          <w:tcPr>
            <w:tcW w:w="847" w:type="dxa"/>
            <w:noWrap w:val="0"/>
            <w:vAlign w:val="center"/>
          </w:tcPr>
          <w:p w14:paraId="23C505E0">
            <w:pPr>
              <w:jc w:val="center"/>
              <w:rPr>
                <w:rFonts w:hint="default" w:eastAsia="宋体"/>
                <w:vertAlign w:val="baseline"/>
                <w:lang w:val="en-US" w:eastAsia="zh-CN"/>
              </w:rPr>
            </w:pPr>
            <w:r>
              <w:rPr>
                <w:rFonts w:hint="eastAsia" w:eastAsia="宋体"/>
                <w:vertAlign w:val="baseline"/>
                <w:lang w:val="en-US" w:eastAsia="zh-CN"/>
              </w:rPr>
              <w:t>10</w:t>
            </w:r>
          </w:p>
        </w:tc>
        <w:tc>
          <w:tcPr>
            <w:tcW w:w="2980" w:type="dxa"/>
            <w:noWrap w:val="0"/>
            <w:vAlign w:val="center"/>
          </w:tcPr>
          <w:p w14:paraId="06DC86CA">
            <w:pPr>
              <w:jc w:val="center"/>
              <w:rPr>
                <w:vertAlign w:val="baseline"/>
              </w:rPr>
            </w:pPr>
            <w:r>
              <w:rPr>
                <w:rFonts w:ascii="宋体" w:hAnsi="宋体" w:eastAsia="宋体" w:cs="宋体"/>
                <w:sz w:val="24"/>
                <w:szCs w:val="24"/>
              </w:rPr>
              <w:t>按期完成医院整改要求；应急需求能够及时调配人员，未落实酌情扣</w:t>
            </w:r>
            <w:r>
              <w:rPr>
                <w:rFonts w:hint="eastAsia" w:ascii="宋体" w:hAnsi="宋体" w:cs="宋体"/>
                <w:sz w:val="24"/>
                <w:szCs w:val="24"/>
                <w:lang w:val="en-US" w:eastAsia="zh-CN"/>
              </w:rPr>
              <w:t>5</w:t>
            </w:r>
            <w:r>
              <w:rPr>
                <w:rFonts w:hint="eastAsia" w:ascii="宋体" w:hAnsi="宋体" w:eastAsia="宋体" w:cs="宋体"/>
                <w:sz w:val="24"/>
                <w:szCs w:val="24"/>
                <w:lang w:val="en-US" w:eastAsia="zh-CN"/>
              </w:rPr>
              <w:t>-</w:t>
            </w:r>
            <w:r>
              <w:rPr>
                <w:rFonts w:ascii="宋体" w:hAnsi="宋体" w:eastAsia="宋体" w:cs="宋体"/>
                <w:sz w:val="24"/>
                <w:szCs w:val="24"/>
              </w:rPr>
              <w:t>10 分</w:t>
            </w:r>
          </w:p>
        </w:tc>
        <w:tc>
          <w:tcPr>
            <w:tcW w:w="1010" w:type="dxa"/>
            <w:noWrap w:val="0"/>
            <w:vAlign w:val="center"/>
          </w:tcPr>
          <w:p w14:paraId="06EB8917">
            <w:pPr>
              <w:jc w:val="center"/>
              <w:rPr>
                <w:vertAlign w:val="baseline"/>
              </w:rPr>
            </w:pPr>
          </w:p>
        </w:tc>
        <w:tc>
          <w:tcPr>
            <w:tcW w:w="1981" w:type="dxa"/>
            <w:noWrap w:val="0"/>
            <w:vAlign w:val="center"/>
          </w:tcPr>
          <w:p w14:paraId="576203E9">
            <w:pPr>
              <w:jc w:val="center"/>
              <w:rPr>
                <w:vertAlign w:val="baseline"/>
              </w:rPr>
            </w:pPr>
          </w:p>
        </w:tc>
      </w:tr>
      <w:tr w14:paraId="638EB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45F028D6">
            <w:pPr>
              <w:jc w:val="center"/>
              <w:rPr>
                <w:vertAlign w:val="baseline"/>
              </w:rPr>
            </w:pPr>
            <w:r>
              <w:rPr>
                <w:rFonts w:ascii="宋体" w:hAnsi="宋体" w:eastAsia="宋体" w:cs="宋体"/>
                <w:sz w:val="24"/>
                <w:szCs w:val="24"/>
              </w:rPr>
              <w:t>台账资料报送</w:t>
            </w:r>
          </w:p>
        </w:tc>
        <w:tc>
          <w:tcPr>
            <w:tcW w:w="847" w:type="dxa"/>
            <w:noWrap w:val="0"/>
            <w:vAlign w:val="center"/>
          </w:tcPr>
          <w:p w14:paraId="7D44B3CA">
            <w:pPr>
              <w:jc w:val="center"/>
              <w:rPr>
                <w:rFonts w:hint="eastAsia" w:eastAsia="宋体"/>
                <w:vertAlign w:val="baseline"/>
                <w:lang w:val="en-US" w:eastAsia="zh-CN"/>
              </w:rPr>
            </w:pPr>
            <w:r>
              <w:rPr>
                <w:rFonts w:hint="eastAsia" w:eastAsia="宋体"/>
                <w:vertAlign w:val="baseline"/>
                <w:lang w:val="en-US" w:eastAsia="zh-CN"/>
              </w:rPr>
              <w:t>5</w:t>
            </w:r>
          </w:p>
        </w:tc>
        <w:tc>
          <w:tcPr>
            <w:tcW w:w="2980" w:type="dxa"/>
            <w:noWrap w:val="0"/>
            <w:vAlign w:val="center"/>
          </w:tcPr>
          <w:p w14:paraId="449518E2">
            <w:pPr>
              <w:jc w:val="center"/>
              <w:rPr>
                <w:vertAlign w:val="baseline"/>
              </w:rPr>
            </w:pPr>
            <w:r>
              <w:rPr>
                <w:rFonts w:ascii="宋体" w:hAnsi="宋体" w:eastAsia="宋体" w:cs="宋体"/>
                <w:sz w:val="24"/>
                <w:szCs w:val="24"/>
              </w:rPr>
              <w:t xml:space="preserve">按时报送考勤、人员变动台账，迟报、漏报酌情扣 </w:t>
            </w:r>
            <w:r>
              <w:rPr>
                <w:rFonts w:hint="eastAsia" w:ascii="宋体" w:hAnsi="宋体" w:cs="宋体"/>
                <w:sz w:val="24"/>
                <w:szCs w:val="24"/>
                <w:lang w:val="en-US" w:eastAsia="zh-CN"/>
              </w:rPr>
              <w:t>1—</w:t>
            </w:r>
            <w:r>
              <w:rPr>
                <w:rFonts w:ascii="宋体" w:hAnsi="宋体" w:eastAsia="宋体" w:cs="宋体"/>
                <w:sz w:val="24"/>
                <w:szCs w:val="24"/>
              </w:rPr>
              <w:t>5分</w:t>
            </w:r>
          </w:p>
        </w:tc>
        <w:tc>
          <w:tcPr>
            <w:tcW w:w="1010" w:type="dxa"/>
            <w:noWrap w:val="0"/>
            <w:vAlign w:val="center"/>
          </w:tcPr>
          <w:p w14:paraId="2E029AB5">
            <w:pPr>
              <w:jc w:val="center"/>
              <w:rPr>
                <w:vertAlign w:val="baseline"/>
              </w:rPr>
            </w:pPr>
          </w:p>
        </w:tc>
        <w:tc>
          <w:tcPr>
            <w:tcW w:w="1981" w:type="dxa"/>
            <w:noWrap w:val="0"/>
            <w:vAlign w:val="center"/>
          </w:tcPr>
          <w:p w14:paraId="67736D40">
            <w:pPr>
              <w:jc w:val="center"/>
              <w:rPr>
                <w:vertAlign w:val="baseline"/>
              </w:rPr>
            </w:pPr>
          </w:p>
        </w:tc>
      </w:tr>
      <w:tr w14:paraId="29CBE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704" w:type="dxa"/>
            <w:noWrap w:val="0"/>
            <w:vAlign w:val="center"/>
          </w:tcPr>
          <w:p w14:paraId="0CABA8BD">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舆论影响</w:t>
            </w:r>
          </w:p>
        </w:tc>
        <w:tc>
          <w:tcPr>
            <w:tcW w:w="847" w:type="dxa"/>
            <w:noWrap w:val="0"/>
            <w:vAlign w:val="center"/>
          </w:tcPr>
          <w:p w14:paraId="143917AD">
            <w:pPr>
              <w:jc w:val="center"/>
              <w:rPr>
                <w:rFonts w:hint="default" w:eastAsia="宋体"/>
                <w:vertAlign w:val="baseline"/>
                <w:lang w:val="en-US" w:eastAsia="zh-CN"/>
              </w:rPr>
            </w:pPr>
            <w:r>
              <w:rPr>
                <w:rFonts w:hint="eastAsia" w:eastAsia="宋体"/>
                <w:vertAlign w:val="baseline"/>
                <w:lang w:val="en-US" w:eastAsia="zh-CN"/>
              </w:rPr>
              <w:t>5</w:t>
            </w:r>
          </w:p>
        </w:tc>
        <w:tc>
          <w:tcPr>
            <w:tcW w:w="2980" w:type="dxa"/>
            <w:noWrap w:val="0"/>
            <w:vAlign w:val="center"/>
          </w:tcPr>
          <w:p w14:paraId="5B78B446">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若因服务商管理问题造成舆论影响则此项0分</w:t>
            </w:r>
          </w:p>
        </w:tc>
        <w:tc>
          <w:tcPr>
            <w:tcW w:w="1010" w:type="dxa"/>
            <w:noWrap w:val="0"/>
            <w:vAlign w:val="center"/>
          </w:tcPr>
          <w:p w14:paraId="6C7376E4">
            <w:pPr>
              <w:jc w:val="center"/>
              <w:rPr>
                <w:vertAlign w:val="baseline"/>
              </w:rPr>
            </w:pPr>
          </w:p>
        </w:tc>
        <w:tc>
          <w:tcPr>
            <w:tcW w:w="1981" w:type="dxa"/>
            <w:noWrap w:val="0"/>
            <w:vAlign w:val="center"/>
          </w:tcPr>
          <w:p w14:paraId="1C366C4D">
            <w:pPr>
              <w:jc w:val="center"/>
              <w:rPr>
                <w:vertAlign w:val="baseline"/>
              </w:rPr>
            </w:pPr>
          </w:p>
        </w:tc>
      </w:tr>
      <w:tr w14:paraId="291AC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704" w:type="dxa"/>
            <w:noWrap w:val="0"/>
            <w:vAlign w:val="center"/>
          </w:tcPr>
          <w:p w14:paraId="7DBBFB54">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合计得分</w:t>
            </w:r>
          </w:p>
        </w:tc>
        <w:tc>
          <w:tcPr>
            <w:tcW w:w="847" w:type="dxa"/>
            <w:noWrap w:val="0"/>
            <w:vAlign w:val="center"/>
          </w:tcPr>
          <w:p w14:paraId="68DA4E27">
            <w:pPr>
              <w:jc w:val="center"/>
              <w:rPr>
                <w:rFonts w:hint="eastAsia" w:eastAsia="宋体"/>
                <w:vertAlign w:val="baseline"/>
                <w:lang w:val="en-US" w:eastAsia="zh-CN"/>
              </w:rPr>
            </w:pPr>
            <w:r>
              <w:rPr>
                <w:rFonts w:hint="eastAsia" w:eastAsia="宋体"/>
                <w:vertAlign w:val="baseline"/>
                <w:lang w:val="en-US" w:eastAsia="zh-CN"/>
              </w:rPr>
              <w:t>100</w:t>
            </w:r>
          </w:p>
        </w:tc>
        <w:tc>
          <w:tcPr>
            <w:tcW w:w="2980" w:type="dxa"/>
            <w:noWrap w:val="0"/>
            <w:vAlign w:val="center"/>
          </w:tcPr>
          <w:p w14:paraId="5E2339D4">
            <w:pPr>
              <w:jc w:val="center"/>
              <w:rPr>
                <w:rFonts w:ascii="宋体" w:hAnsi="宋体" w:eastAsia="宋体" w:cs="宋体"/>
                <w:sz w:val="24"/>
                <w:szCs w:val="24"/>
              </w:rPr>
            </w:pPr>
          </w:p>
        </w:tc>
        <w:tc>
          <w:tcPr>
            <w:tcW w:w="1010" w:type="dxa"/>
            <w:noWrap w:val="0"/>
            <w:vAlign w:val="center"/>
          </w:tcPr>
          <w:p w14:paraId="44A57AB4">
            <w:pPr>
              <w:jc w:val="center"/>
              <w:rPr>
                <w:vertAlign w:val="baseline"/>
              </w:rPr>
            </w:pPr>
          </w:p>
        </w:tc>
        <w:tc>
          <w:tcPr>
            <w:tcW w:w="1981" w:type="dxa"/>
            <w:noWrap w:val="0"/>
            <w:vAlign w:val="center"/>
          </w:tcPr>
          <w:p w14:paraId="63446B80">
            <w:pPr>
              <w:jc w:val="center"/>
              <w:rPr>
                <w:vertAlign w:val="baseline"/>
              </w:rPr>
            </w:pPr>
          </w:p>
        </w:tc>
      </w:tr>
    </w:tbl>
    <w:p w14:paraId="5F1CF112"/>
    <w:p w14:paraId="249865AA">
      <w:pPr>
        <w:rPr>
          <w:rFonts w:hint="eastAsia"/>
          <w:lang w:val="en-US" w:eastAsia="zh-CN"/>
        </w:rPr>
      </w:pPr>
    </w:p>
    <w:p w14:paraId="3A6B9A21">
      <w:pPr>
        <w:rPr>
          <w:rFonts w:hint="eastAsia"/>
          <w:lang w:val="en-US" w:eastAsia="zh-CN"/>
        </w:rPr>
      </w:pPr>
    </w:p>
    <w:p w14:paraId="1F4709A0">
      <w:pPr>
        <w:rPr>
          <w:rFonts w:hint="eastAsia"/>
          <w:lang w:val="en-US" w:eastAsia="zh-CN"/>
        </w:rPr>
      </w:pPr>
    </w:p>
    <w:p w14:paraId="642FF0E9">
      <w:pPr>
        <w:rPr>
          <w:rFonts w:hint="eastAsia"/>
          <w:lang w:val="en-US" w:eastAsia="zh-CN"/>
        </w:rPr>
      </w:pPr>
    </w:p>
    <w:p w14:paraId="2ACA4CCE">
      <w:pPr>
        <w:rPr>
          <w:rFonts w:hint="eastAsia"/>
          <w:lang w:val="en-US" w:eastAsia="zh-CN"/>
        </w:rPr>
      </w:pPr>
    </w:p>
    <w:p w14:paraId="5E252C4D">
      <w:pPr>
        <w:rPr>
          <w:rFonts w:hint="eastAsia"/>
          <w:lang w:val="en-US" w:eastAsia="zh-CN"/>
        </w:rPr>
      </w:pPr>
    </w:p>
    <w:p w14:paraId="33AA8256">
      <w:pPr>
        <w:rPr>
          <w:rFonts w:hint="eastAsia"/>
          <w:lang w:val="en-US" w:eastAsia="zh-CN"/>
        </w:rPr>
      </w:pPr>
    </w:p>
    <w:p w14:paraId="306A57AA">
      <w:pPr>
        <w:rPr>
          <w:rFonts w:hint="eastAsia"/>
          <w:lang w:val="en-US" w:eastAsia="zh-CN"/>
        </w:rPr>
      </w:pPr>
    </w:p>
    <w:p w14:paraId="4F69630D">
      <w:pPr>
        <w:rPr>
          <w:rFonts w:hint="default" w:eastAsia="宋体"/>
          <w:lang w:val="en-US" w:eastAsia="zh-CN"/>
        </w:rPr>
      </w:pPr>
      <w:r>
        <w:rPr>
          <w:rFonts w:hint="eastAsia"/>
          <w:lang w:val="en-US" w:eastAsia="zh-CN"/>
        </w:rPr>
        <w:t>考核结算应用</w:t>
      </w:r>
    </w:p>
    <w:p w14:paraId="6A54FCEC"/>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71"/>
        <w:gridCol w:w="2955"/>
      </w:tblGrid>
      <w:tr w14:paraId="363C3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1" w:type="dxa"/>
            <w:noWrap w:val="0"/>
            <w:vAlign w:val="top"/>
          </w:tcPr>
          <w:p w14:paraId="67AE645A">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b/>
                <w:bCs/>
                <w:sz w:val="28"/>
                <w:szCs w:val="28"/>
              </w:rPr>
              <w:t>月度考核得分</w:t>
            </w:r>
          </w:p>
        </w:tc>
        <w:tc>
          <w:tcPr>
            <w:tcW w:w="2955" w:type="dxa"/>
            <w:noWrap w:val="0"/>
            <w:vAlign w:val="top"/>
          </w:tcPr>
          <w:p w14:paraId="29DFBDB1">
            <w:pPr>
              <w:jc w:val="center"/>
              <w:rPr>
                <w:rFonts w:hint="eastAsia" w:ascii="仿宋_GB2312" w:hAnsi="仿宋_GB2312" w:eastAsia="仿宋_GB2312" w:cs="仿宋_GB2312"/>
                <w:b/>
                <w:bCs/>
                <w:sz w:val="28"/>
                <w:szCs w:val="28"/>
                <w:vertAlign w:val="baseline"/>
              </w:rPr>
            </w:pPr>
            <w:r>
              <w:rPr>
                <w:rFonts w:hint="eastAsia" w:ascii="仿宋_GB2312" w:hAnsi="仿宋_GB2312" w:eastAsia="仿宋_GB2312" w:cs="仿宋_GB2312"/>
                <w:b/>
                <w:bCs/>
                <w:sz w:val="28"/>
                <w:szCs w:val="28"/>
              </w:rPr>
              <w:t>当月服务费结算比例</w:t>
            </w:r>
          </w:p>
        </w:tc>
      </w:tr>
      <w:tr w14:paraId="52A79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1" w:type="dxa"/>
            <w:noWrap w:val="0"/>
            <w:vAlign w:val="top"/>
          </w:tcPr>
          <w:p w14:paraId="6884E61F">
            <w:pPr>
              <w:jc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90</w:t>
            </w:r>
            <w:r>
              <w:rPr>
                <w:rFonts w:hint="eastAsia" w:ascii="仿宋_GB2312" w:hAnsi="仿宋_GB2312" w:eastAsia="仿宋_GB2312" w:cs="仿宋_GB2312"/>
                <w:sz w:val="28"/>
                <w:szCs w:val="28"/>
              </w:rPr>
              <w:t>分</w:t>
            </w:r>
          </w:p>
        </w:tc>
        <w:tc>
          <w:tcPr>
            <w:tcW w:w="2955" w:type="dxa"/>
            <w:noWrap w:val="0"/>
            <w:vAlign w:val="top"/>
          </w:tcPr>
          <w:p w14:paraId="4F887AFA">
            <w:pPr>
              <w:jc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100%</w:t>
            </w:r>
          </w:p>
        </w:tc>
      </w:tr>
      <w:tr w14:paraId="1BE84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1" w:type="dxa"/>
            <w:noWrap w:val="0"/>
            <w:vAlign w:val="top"/>
          </w:tcPr>
          <w:p w14:paraId="35B99190">
            <w:pPr>
              <w:jc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85—89分</w:t>
            </w:r>
          </w:p>
        </w:tc>
        <w:tc>
          <w:tcPr>
            <w:tcW w:w="2955" w:type="dxa"/>
            <w:noWrap w:val="0"/>
            <w:vAlign w:val="top"/>
          </w:tcPr>
          <w:p w14:paraId="4CC46FED">
            <w:pPr>
              <w:jc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99%</w:t>
            </w:r>
          </w:p>
        </w:tc>
      </w:tr>
      <w:tr w14:paraId="6C073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1" w:type="dxa"/>
            <w:noWrap w:val="0"/>
            <w:vAlign w:val="top"/>
          </w:tcPr>
          <w:p w14:paraId="1A114883">
            <w:pPr>
              <w:jc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80—84分</w:t>
            </w:r>
          </w:p>
        </w:tc>
        <w:tc>
          <w:tcPr>
            <w:tcW w:w="2955" w:type="dxa"/>
            <w:noWrap w:val="0"/>
            <w:vAlign w:val="top"/>
          </w:tcPr>
          <w:p w14:paraId="55D077CD">
            <w:pPr>
              <w:jc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98%</w:t>
            </w:r>
          </w:p>
        </w:tc>
      </w:tr>
      <w:tr w14:paraId="0C438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1" w:type="dxa"/>
            <w:noWrap w:val="0"/>
            <w:vAlign w:val="top"/>
          </w:tcPr>
          <w:p w14:paraId="5A8D0984">
            <w:pPr>
              <w:jc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70—79分</w:t>
            </w:r>
          </w:p>
        </w:tc>
        <w:tc>
          <w:tcPr>
            <w:tcW w:w="2955" w:type="dxa"/>
            <w:noWrap w:val="0"/>
            <w:vAlign w:val="top"/>
          </w:tcPr>
          <w:p w14:paraId="7BC95603">
            <w:pPr>
              <w:jc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95%</w:t>
            </w:r>
          </w:p>
        </w:tc>
      </w:tr>
      <w:tr w14:paraId="23FB1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1" w:type="dxa"/>
            <w:noWrap w:val="0"/>
            <w:vAlign w:val="top"/>
          </w:tcPr>
          <w:p w14:paraId="00FCB168">
            <w:pPr>
              <w:jc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70分以下</w:t>
            </w:r>
          </w:p>
        </w:tc>
        <w:tc>
          <w:tcPr>
            <w:tcW w:w="2955" w:type="dxa"/>
            <w:noWrap w:val="0"/>
            <w:vAlign w:val="top"/>
          </w:tcPr>
          <w:p w14:paraId="78811912">
            <w:pPr>
              <w:jc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90%</w:t>
            </w:r>
          </w:p>
        </w:tc>
      </w:tr>
    </w:tbl>
    <w:p w14:paraId="6B4A746B"/>
    <w:p w14:paraId="5664825D"/>
    <w:p w14:paraId="2C2431A6"/>
    <w:p w14:paraId="6012EAD7">
      <w:pPr>
        <w:rPr>
          <w:rFonts w:ascii="宋体" w:hAnsi="宋体" w:eastAsia="宋体" w:cs="宋体"/>
          <w:sz w:val="24"/>
          <w:szCs w:val="24"/>
        </w:rPr>
      </w:pPr>
      <w:r>
        <w:rPr>
          <w:rFonts w:ascii="宋体" w:hAnsi="宋体" w:eastAsia="宋体" w:cs="宋体"/>
          <w:sz w:val="24"/>
          <w:szCs w:val="24"/>
        </w:rPr>
        <w:t>考核小组签字：____________</w:t>
      </w:r>
    </w:p>
    <w:p w14:paraId="06BBBE36">
      <w:pPr>
        <w:rPr>
          <w:rFonts w:ascii="宋体" w:hAnsi="宋体" w:eastAsia="宋体" w:cs="宋体"/>
          <w:sz w:val="24"/>
          <w:szCs w:val="24"/>
        </w:rPr>
      </w:pPr>
    </w:p>
    <w:p w14:paraId="300AF035">
      <w:pPr>
        <w:rPr>
          <w:rFonts w:ascii="宋体" w:hAnsi="宋体" w:eastAsia="宋体" w:cs="宋体"/>
          <w:sz w:val="24"/>
          <w:szCs w:val="24"/>
        </w:rPr>
      </w:pPr>
      <w:r>
        <w:rPr>
          <w:rFonts w:ascii="宋体" w:hAnsi="宋体" w:eastAsia="宋体" w:cs="宋体"/>
          <w:sz w:val="24"/>
          <w:szCs w:val="24"/>
        </w:rPr>
        <w:t>服务商项目负责人签字：____________</w:t>
      </w:r>
    </w:p>
    <w:p w14:paraId="04828638">
      <w:pPr>
        <w:rPr>
          <w:rFonts w:ascii="宋体" w:hAnsi="宋体" w:eastAsia="宋体" w:cs="宋体"/>
          <w:sz w:val="24"/>
          <w:szCs w:val="24"/>
        </w:rPr>
      </w:pPr>
    </w:p>
    <w:p w14:paraId="6D5C21FB">
      <w:r>
        <w:rPr>
          <w:rFonts w:ascii="宋体" w:hAnsi="宋体" w:eastAsia="宋体" w:cs="宋体"/>
          <w:sz w:val="24"/>
          <w:szCs w:val="24"/>
        </w:rPr>
        <w:t>考核日期：______年____月____日</w:t>
      </w:r>
    </w:p>
    <w:p w14:paraId="266E943D"/>
    <w:p w14:paraId="60E37CE8"/>
    <w:p w14:paraId="27AEF386"/>
    <w:p w14:paraId="7AFE8265"/>
    <w:p w14:paraId="4606024F"/>
    <w:p w14:paraId="72AF5BF0"/>
    <w:p w14:paraId="0030EC57"/>
    <w:p w14:paraId="79D12F42"/>
    <w:p w14:paraId="7070197A"/>
    <w:p w14:paraId="5F0AA308"/>
    <w:p w14:paraId="1032A75F"/>
    <w:p w14:paraId="4D430A59"/>
    <w:p w14:paraId="43B03C84"/>
    <w:p w14:paraId="547887F1"/>
    <w:p w14:paraId="449D367B"/>
    <w:p w14:paraId="425FD571"/>
    <w:p w14:paraId="67D8FB49"/>
    <w:p w14:paraId="78FBC992"/>
    <w:p w14:paraId="25007C7C"/>
    <w:p w14:paraId="420B9542"/>
    <w:p w14:paraId="37F4985C"/>
    <w:p w14:paraId="4FDD4452"/>
    <w:p w14:paraId="7E04AEA0">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lang w:val="en-US" w:eastAsia="zh-CN"/>
        </w:rPr>
        <w:t>成都市新津区人民医院</w:t>
      </w:r>
      <w:r>
        <w:rPr>
          <w:rFonts w:hint="eastAsia" w:ascii="方正小标宋简体" w:hAnsi="方正小标宋简体" w:eastAsia="方正小标宋简体" w:cs="方正小标宋简体"/>
          <w:sz w:val="36"/>
          <w:szCs w:val="36"/>
        </w:rPr>
        <w:t>辅助</w:t>
      </w:r>
      <w:r>
        <w:rPr>
          <w:rFonts w:hint="eastAsia" w:ascii="方正小标宋简体" w:hAnsi="方正小标宋简体" w:eastAsia="方正小标宋简体" w:cs="方正小标宋简体"/>
          <w:sz w:val="36"/>
          <w:szCs w:val="36"/>
          <w:lang w:val="en-US" w:eastAsia="zh-CN"/>
        </w:rPr>
        <w:t>性</w:t>
      </w:r>
      <w:r>
        <w:rPr>
          <w:rFonts w:hint="eastAsia" w:ascii="方正小标宋简体" w:hAnsi="方正小标宋简体" w:eastAsia="方正小标宋简体" w:cs="方正小标宋简体"/>
          <w:sz w:val="36"/>
          <w:szCs w:val="36"/>
        </w:rPr>
        <w:t>服务派驻人员</w:t>
      </w:r>
    </w:p>
    <w:p w14:paraId="1CB566D1">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月度绩效考核表</w:t>
      </w:r>
    </w:p>
    <w:p w14:paraId="00B0DDEE">
      <w:pPr>
        <w:jc w:val="left"/>
        <w:rPr>
          <w:rStyle w:val="10"/>
          <w:rFonts w:ascii="宋体" w:hAnsi="宋体" w:eastAsia="宋体" w:cs="宋体"/>
          <w:b w:val="0"/>
          <w:bCs w:val="0"/>
          <w:color w:val="000000"/>
          <w:sz w:val="24"/>
          <w:szCs w:val="24"/>
        </w:rPr>
      </w:pPr>
      <w:r>
        <w:rPr>
          <w:rFonts w:ascii="宋体" w:hAnsi="宋体" w:eastAsia="宋体" w:cs="宋体"/>
          <w:sz w:val="24"/>
          <w:szCs w:val="24"/>
        </w:rPr>
        <w:t>考核月份：</w:t>
      </w:r>
      <w:r>
        <w:rPr>
          <w:rStyle w:val="10"/>
          <w:rFonts w:ascii="宋体" w:hAnsi="宋体" w:eastAsia="宋体" w:cs="宋体"/>
          <w:b/>
          <w:bCs/>
          <w:color w:val="000000"/>
          <w:sz w:val="24"/>
          <w:szCs w:val="24"/>
        </w:rPr>
        <w:t>____</w:t>
      </w:r>
      <w:r>
        <w:rPr>
          <w:rStyle w:val="10"/>
          <w:rFonts w:ascii="宋体" w:hAnsi="宋体" w:eastAsia="宋体" w:cs="宋体"/>
          <w:b w:val="0"/>
          <w:bCs w:val="0"/>
          <w:color w:val="000000"/>
          <w:sz w:val="24"/>
          <w:szCs w:val="24"/>
        </w:rPr>
        <w:t>年____月</w:t>
      </w:r>
    </w:p>
    <w:p w14:paraId="518FB776">
      <w:pPr>
        <w:jc w:val="left"/>
        <w:rPr>
          <w:rFonts w:ascii="宋体" w:hAnsi="宋体" w:eastAsia="宋体" w:cs="宋体"/>
          <w:sz w:val="24"/>
          <w:szCs w:val="24"/>
        </w:rPr>
      </w:pPr>
      <w:r>
        <w:rPr>
          <w:rStyle w:val="10"/>
          <w:rFonts w:ascii="宋体" w:hAnsi="宋体" w:eastAsia="宋体" w:cs="宋体"/>
          <w:b w:val="0"/>
          <w:bCs w:val="0"/>
          <w:color w:val="000000"/>
          <w:sz w:val="24"/>
          <w:szCs w:val="24"/>
        </w:rPr>
        <w:t>服务商：</w:t>
      </w:r>
      <w:r>
        <w:rPr>
          <w:rFonts w:ascii="宋体" w:hAnsi="宋体" w:eastAsia="宋体" w:cs="宋体"/>
          <w:b w:val="0"/>
          <w:bCs w:val="0"/>
          <w:sz w:val="24"/>
          <w:szCs w:val="24"/>
        </w:rPr>
        <w:t>_______________</w:t>
      </w:r>
      <w:r>
        <w:rPr>
          <w:rFonts w:ascii="宋体" w:hAnsi="宋体" w:eastAsia="宋体" w:cs="宋体"/>
          <w:sz w:val="24"/>
          <w:szCs w:val="24"/>
        </w:rPr>
        <w:t>___ 被考核人：________ 岗位：____________</w:t>
      </w:r>
    </w:p>
    <w:p w14:paraId="3504D5C0">
      <w:pPr>
        <w:jc w:val="left"/>
        <w:rPr>
          <w:rFonts w:ascii="宋体" w:hAnsi="宋体" w:eastAsia="宋体" w:cs="宋体"/>
          <w:sz w:val="24"/>
          <w:szCs w:val="24"/>
        </w:rPr>
      </w:pPr>
      <w:r>
        <w:rPr>
          <w:rFonts w:ascii="宋体" w:hAnsi="宋体" w:eastAsia="宋体" w:cs="宋体"/>
          <w:sz w:val="24"/>
          <w:szCs w:val="24"/>
        </w:rPr>
        <w:t>派驻科室：____________ 科室考核人（负责人）：____________</w:t>
      </w:r>
    </w:p>
    <w:p w14:paraId="12FA798F">
      <w:pPr>
        <w:jc w:val="left"/>
        <w:rPr>
          <w:rFonts w:hint="eastAsia" w:ascii="宋体" w:hAnsi="宋体" w:eastAsia="宋体" w:cs="宋体"/>
          <w:sz w:val="24"/>
          <w:szCs w:val="24"/>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102"/>
        <w:gridCol w:w="2830"/>
        <w:gridCol w:w="890"/>
        <w:gridCol w:w="1996"/>
      </w:tblGrid>
      <w:tr w14:paraId="734AA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4BF2C884">
            <w:pPr>
              <w:jc w:val="center"/>
              <w:rPr>
                <w:rFonts w:hint="eastAsia" w:ascii="宋体" w:hAnsi="宋体" w:eastAsia="宋体" w:cs="宋体"/>
                <w:b/>
                <w:bCs/>
                <w:sz w:val="24"/>
                <w:szCs w:val="24"/>
                <w:vertAlign w:val="baseline"/>
              </w:rPr>
            </w:pPr>
            <w:r>
              <w:rPr>
                <w:rFonts w:hint="eastAsia" w:ascii="宋体" w:hAnsi="宋体" w:eastAsia="宋体" w:cs="宋体"/>
                <w:b/>
                <w:bCs/>
                <w:sz w:val="24"/>
                <w:szCs w:val="24"/>
              </w:rPr>
              <w:t>考核项目</w:t>
            </w:r>
          </w:p>
        </w:tc>
        <w:tc>
          <w:tcPr>
            <w:tcW w:w="1102" w:type="dxa"/>
            <w:noWrap w:val="0"/>
            <w:vAlign w:val="center"/>
          </w:tcPr>
          <w:p w14:paraId="11F56534">
            <w:pPr>
              <w:jc w:val="center"/>
              <w:rPr>
                <w:rFonts w:hint="eastAsia" w:ascii="宋体" w:hAnsi="宋体" w:eastAsia="宋体" w:cs="宋体"/>
                <w:b/>
                <w:bCs/>
                <w:sz w:val="24"/>
                <w:szCs w:val="24"/>
                <w:vertAlign w:val="baseline"/>
              </w:rPr>
            </w:pPr>
            <w:r>
              <w:rPr>
                <w:rFonts w:hint="eastAsia" w:ascii="宋体" w:hAnsi="宋体" w:eastAsia="宋体" w:cs="宋体"/>
                <w:b/>
                <w:bCs/>
                <w:sz w:val="24"/>
                <w:szCs w:val="24"/>
              </w:rPr>
              <w:t>分值</w:t>
            </w:r>
          </w:p>
        </w:tc>
        <w:tc>
          <w:tcPr>
            <w:tcW w:w="2830" w:type="dxa"/>
            <w:noWrap w:val="0"/>
            <w:vAlign w:val="center"/>
          </w:tcPr>
          <w:p w14:paraId="36F4B928">
            <w:pPr>
              <w:jc w:val="center"/>
              <w:rPr>
                <w:rFonts w:hint="eastAsia" w:ascii="宋体" w:hAnsi="宋体" w:eastAsia="宋体" w:cs="宋体"/>
                <w:b/>
                <w:bCs/>
                <w:sz w:val="24"/>
                <w:szCs w:val="24"/>
                <w:vertAlign w:val="baseline"/>
              </w:rPr>
            </w:pPr>
            <w:r>
              <w:rPr>
                <w:rFonts w:hint="eastAsia" w:ascii="宋体" w:hAnsi="宋体" w:eastAsia="宋体" w:cs="宋体"/>
                <w:b/>
                <w:bCs/>
                <w:sz w:val="24"/>
                <w:szCs w:val="24"/>
              </w:rPr>
              <w:t>考核标准</w:t>
            </w:r>
          </w:p>
        </w:tc>
        <w:tc>
          <w:tcPr>
            <w:tcW w:w="890" w:type="dxa"/>
            <w:noWrap w:val="0"/>
            <w:vAlign w:val="center"/>
          </w:tcPr>
          <w:p w14:paraId="3D315732">
            <w:pPr>
              <w:jc w:val="center"/>
              <w:rPr>
                <w:rFonts w:hint="eastAsia" w:ascii="宋体" w:hAnsi="宋体" w:eastAsia="宋体" w:cs="宋体"/>
                <w:b/>
                <w:bCs/>
                <w:sz w:val="24"/>
                <w:szCs w:val="24"/>
                <w:vertAlign w:val="baseline"/>
              </w:rPr>
            </w:pPr>
            <w:r>
              <w:rPr>
                <w:rFonts w:hint="eastAsia" w:ascii="宋体" w:hAnsi="宋体" w:eastAsia="宋体" w:cs="宋体"/>
                <w:b/>
                <w:bCs/>
                <w:sz w:val="24"/>
                <w:szCs w:val="24"/>
              </w:rPr>
              <w:t>得分</w:t>
            </w:r>
          </w:p>
        </w:tc>
        <w:tc>
          <w:tcPr>
            <w:tcW w:w="1996" w:type="dxa"/>
            <w:noWrap w:val="0"/>
            <w:vAlign w:val="center"/>
          </w:tcPr>
          <w:p w14:paraId="3E765612">
            <w:pPr>
              <w:jc w:val="center"/>
              <w:rPr>
                <w:rFonts w:hint="eastAsia" w:ascii="宋体" w:hAnsi="宋体" w:eastAsia="宋体" w:cs="宋体"/>
                <w:b/>
                <w:bCs/>
                <w:sz w:val="24"/>
                <w:szCs w:val="24"/>
                <w:vertAlign w:val="baseline"/>
              </w:rPr>
            </w:pPr>
            <w:r>
              <w:rPr>
                <w:rFonts w:hint="eastAsia" w:ascii="宋体" w:hAnsi="宋体" w:eastAsia="宋体" w:cs="宋体"/>
                <w:b/>
                <w:bCs/>
                <w:sz w:val="24"/>
                <w:szCs w:val="24"/>
              </w:rPr>
              <w:t>扣分说明</w:t>
            </w:r>
          </w:p>
        </w:tc>
      </w:tr>
      <w:tr w14:paraId="67E95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4991C117">
            <w:pPr>
              <w:jc w:val="center"/>
              <w:rPr>
                <w:rFonts w:hint="eastAsia" w:ascii="宋体" w:hAnsi="宋体" w:eastAsia="宋体" w:cs="宋体"/>
                <w:sz w:val="24"/>
                <w:szCs w:val="24"/>
                <w:vertAlign w:val="baseline"/>
              </w:rPr>
            </w:pPr>
            <w:r>
              <w:rPr>
                <w:rFonts w:hint="eastAsia" w:ascii="宋体" w:hAnsi="宋体" w:eastAsia="宋体" w:cs="宋体"/>
                <w:sz w:val="24"/>
                <w:szCs w:val="24"/>
              </w:rPr>
              <w:t>工作任务完成</w:t>
            </w:r>
          </w:p>
        </w:tc>
        <w:tc>
          <w:tcPr>
            <w:tcW w:w="1102" w:type="dxa"/>
            <w:noWrap w:val="0"/>
            <w:vAlign w:val="center"/>
          </w:tcPr>
          <w:p w14:paraId="4E35C678">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40</w:t>
            </w:r>
          </w:p>
        </w:tc>
        <w:tc>
          <w:tcPr>
            <w:tcW w:w="2830" w:type="dxa"/>
            <w:noWrap w:val="0"/>
            <w:vAlign w:val="center"/>
          </w:tcPr>
          <w:p w14:paraId="77FD4B88">
            <w:pPr>
              <w:jc w:val="center"/>
              <w:rPr>
                <w:rFonts w:hint="eastAsia" w:ascii="宋体" w:hAnsi="宋体" w:eastAsia="宋体" w:cs="宋体"/>
                <w:sz w:val="24"/>
                <w:szCs w:val="24"/>
                <w:vertAlign w:val="baseline"/>
              </w:rPr>
            </w:pPr>
            <w:r>
              <w:rPr>
                <w:rFonts w:hint="eastAsia" w:ascii="宋体" w:hAnsi="宋体" w:eastAsia="宋体" w:cs="宋体"/>
                <w:sz w:val="24"/>
                <w:szCs w:val="24"/>
              </w:rPr>
              <w:t>按岗位职责完成工作，交办任务按时办结；无重大工作漏项、差错，出现问题酌情扣5</w:t>
            </w:r>
            <w:r>
              <w:rPr>
                <w:rFonts w:hint="eastAsia" w:ascii="宋体" w:hAnsi="宋体" w:eastAsia="宋体" w:cs="宋体"/>
                <w:sz w:val="24"/>
                <w:szCs w:val="24"/>
                <w:lang w:eastAsia="zh-CN"/>
              </w:rPr>
              <w:t>—</w:t>
            </w:r>
            <w:r>
              <w:rPr>
                <w:rFonts w:hint="eastAsia" w:ascii="宋体" w:hAnsi="宋体" w:eastAsia="宋体" w:cs="宋体"/>
                <w:sz w:val="24"/>
                <w:szCs w:val="24"/>
              </w:rPr>
              <w:t>2</w:t>
            </w:r>
            <w:r>
              <w:rPr>
                <w:rFonts w:hint="eastAsia" w:ascii="宋体" w:hAnsi="宋体" w:cs="宋体"/>
                <w:sz w:val="24"/>
                <w:szCs w:val="24"/>
                <w:lang w:val="en-US" w:eastAsia="zh-CN"/>
              </w:rPr>
              <w:t>0</w:t>
            </w:r>
            <w:r>
              <w:rPr>
                <w:rFonts w:hint="eastAsia" w:ascii="宋体" w:hAnsi="宋体" w:eastAsia="宋体" w:cs="宋体"/>
                <w:sz w:val="24"/>
                <w:szCs w:val="24"/>
              </w:rPr>
              <w:t>分</w:t>
            </w:r>
          </w:p>
        </w:tc>
        <w:tc>
          <w:tcPr>
            <w:tcW w:w="890" w:type="dxa"/>
            <w:noWrap w:val="0"/>
            <w:vAlign w:val="center"/>
          </w:tcPr>
          <w:p w14:paraId="6D4048A0">
            <w:pPr>
              <w:jc w:val="center"/>
              <w:rPr>
                <w:rFonts w:hint="eastAsia" w:ascii="宋体" w:hAnsi="宋体" w:eastAsia="宋体" w:cs="宋体"/>
                <w:sz w:val="24"/>
                <w:szCs w:val="24"/>
                <w:vertAlign w:val="baseline"/>
              </w:rPr>
            </w:pPr>
          </w:p>
        </w:tc>
        <w:tc>
          <w:tcPr>
            <w:tcW w:w="1996" w:type="dxa"/>
            <w:noWrap w:val="0"/>
            <w:vAlign w:val="center"/>
          </w:tcPr>
          <w:p w14:paraId="52E13936">
            <w:pPr>
              <w:jc w:val="center"/>
              <w:rPr>
                <w:rFonts w:hint="eastAsia" w:ascii="宋体" w:hAnsi="宋体" w:eastAsia="宋体" w:cs="宋体"/>
                <w:sz w:val="24"/>
                <w:szCs w:val="24"/>
                <w:vertAlign w:val="baseline"/>
              </w:rPr>
            </w:pPr>
          </w:p>
        </w:tc>
      </w:tr>
      <w:tr w14:paraId="610A1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46D11CBA">
            <w:pPr>
              <w:jc w:val="center"/>
              <w:rPr>
                <w:rFonts w:hint="eastAsia" w:ascii="宋体" w:hAnsi="宋体" w:eastAsia="宋体" w:cs="宋体"/>
                <w:sz w:val="24"/>
                <w:szCs w:val="24"/>
                <w:vertAlign w:val="baseline"/>
              </w:rPr>
            </w:pPr>
            <w:r>
              <w:rPr>
                <w:rFonts w:hint="eastAsia" w:ascii="宋体" w:hAnsi="宋体" w:eastAsia="宋体" w:cs="宋体"/>
                <w:sz w:val="24"/>
                <w:szCs w:val="24"/>
              </w:rPr>
              <w:t>工作劳动纪律</w:t>
            </w:r>
          </w:p>
        </w:tc>
        <w:tc>
          <w:tcPr>
            <w:tcW w:w="1102" w:type="dxa"/>
            <w:noWrap w:val="0"/>
            <w:vAlign w:val="center"/>
          </w:tcPr>
          <w:p w14:paraId="109324C8">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20</w:t>
            </w:r>
          </w:p>
        </w:tc>
        <w:tc>
          <w:tcPr>
            <w:tcW w:w="2830" w:type="dxa"/>
            <w:noWrap w:val="0"/>
            <w:vAlign w:val="center"/>
          </w:tcPr>
          <w:p w14:paraId="56A11115">
            <w:pPr>
              <w:jc w:val="center"/>
              <w:rPr>
                <w:rFonts w:hint="eastAsia" w:ascii="宋体" w:hAnsi="宋体" w:eastAsia="宋体" w:cs="宋体"/>
                <w:sz w:val="24"/>
                <w:szCs w:val="24"/>
                <w:vertAlign w:val="baseline"/>
              </w:rPr>
            </w:pPr>
            <w:r>
              <w:rPr>
                <w:rFonts w:hint="eastAsia" w:ascii="宋体" w:hAnsi="宋体" w:eastAsia="宋体" w:cs="宋体"/>
                <w:sz w:val="24"/>
                <w:szCs w:val="24"/>
              </w:rPr>
              <w:t>遵守考勤制度，无迟到、早退、脱岗，服从科室管理，违规酌情扣 2</w:t>
            </w:r>
            <w:r>
              <w:rPr>
                <w:rFonts w:hint="eastAsia" w:ascii="宋体" w:hAnsi="宋体" w:eastAsia="宋体" w:cs="宋体"/>
                <w:sz w:val="24"/>
                <w:szCs w:val="24"/>
                <w:lang w:eastAsia="zh-CN"/>
              </w:rPr>
              <w:t>—</w:t>
            </w:r>
            <w:r>
              <w:rPr>
                <w:rFonts w:hint="eastAsia" w:ascii="宋体" w:hAnsi="宋体" w:eastAsia="宋体" w:cs="宋体"/>
                <w:sz w:val="24"/>
                <w:szCs w:val="24"/>
              </w:rPr>
              <w:t>20分</w:t>
            </w:r>
          </w:p>
        </w:tc>
        <w:tc>
          <w:tcPr>
            <w:tcW w:w="890" w:type="dxa"/>
            <w:noWrap w:val="0"/>
            <w:vAlign w:val="center"/>
          </w:tcPr>
          <w:p w14:paraId="7F040D90">
            <w:pPr>
              <w:jc w:val="center"/>
              <w:rPr>
                <w:rFonts w:hint="eastAsia" w:ascii="宋体" w:hAnsi="宋体" w:eastAsia="宋体" w:cs="宋体"/>
                <w:sz w:val="24"/>
                <w:szCs w:val="24"/>
                <w:vertAlign w:val="baseline"/>
              </w:rPr>
            </w:pPr>
          </w:p>
        </w:tc>
        <w:tc>
          <w:tcPr>
            <w:tcW w:w="1996" w:type="dxa"/>
            <w:noWrap w:val="0"/>
            <w:vAlign w:val="center"/>
          </w:tcPr>
          <w:p w14:paraId="25546309">
            <w:pPr>
              <w:jc w:val="center"/>
              <w:rPr>
                <w:rFonts w:hint="eastAsia" w:ascii="宋体" w:hAnsi="宋体" w:eastAsia="宋体" w:cs="宋体"/>
                <w:sz w:val="24"/>
                <w:szCs w:val="24"/>
                <w:vertAlign w:val="baseline"/>
              </w:rPr>
            </w:pPr>
          </w:p>
        </w:tc>
      </w:tr>
      <w:tr w14:paraId="0D24D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38A23143">
            <w:pPr>
              <w:jc w:val="center"/>
              <w:rPr>
                <w:rFonts w:hint="eastAsia" w:ascii="宋体" w:hAnsi="宋体" w:eastAsia="宋体" w:cs="宋体"/>
                <w:sz w:val="24"/>
                <w:szCs w:val="24"/>
                <w:vertAlign w:val="baseline"/>
              </w:rPr>
            </w:pPr>
            <w:r>
              <w:rPr>
                <w:rFonts w:hint="eastAsia" w:ascii="宋体" w:hAnsi="宋体" w:eastAsia="宋体" w:cs="宋体"/>
                <w:sz w:val="24"/>
                <w:szCs w:val="24"/>
              </w:rPr>
              <w:t>服务态度与协作</w:t>
            </w:r>
          </w:p>
        </w:tc>
        <w:tc>
          <w:tcPr>
            <w:tcW w:w="1102" w:type="dxa"/>
            <w:noWrap w:val="0"/>
            <w:vAlign w:val="center"/>
          </w:tcPr>
          <w:p w14:paraId="2899C1D8">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20</w:t>
            </w:r>
          </w:p>
        </w:tc>
        <w:tc>
          <w:tcPr>
            <w:tcW w:w="2830" w:type="dxa"/>
            <w:noWrap w:val="0"/>
            <w:vAlign w:val="center"/>
          </w:tcPr>
          <w:p w14:paraId="567BDDE9">
            <w:pPr>
              <w:jc w:val="center"/>
              <w:rPr>
                <w:rFonts w:hint="eastAsia" w:ascii="宋体" w:hAnsi="宋体" w:eastAsia="宋体" w:cs="宋体"/>
                <w:sz w:val="24"/>
                <w:szCs w:val="24"/>
                <w:vertAlign w:val="baseline"/>
              </w:rPr>
            </w:pPr>
            <w:r>
              <w:rPr>
                <w:rFonts w:hint="eastAsia" w:ascii="宋体" w:hAnsi="宋体" w:eastAsia="宋体" w:cs="宋体"/>
                <w:sz w:val="24"/>
                <w:szCs w:val="24"/>
              </w:rPr>
              <w:t>文明对待患者及职工，配合临床工作；发生有效服务投诉本项扣 10</w:t>
            </w:r>
            <w:r>
              <w:rPr>
                <w:rFonts w:hint="eastAsia" w:ascii="宋体" w:hAnsi="宋体" w:eastAsia="宋体" w:cs="宋体"/>
                <w:sz w:val="24"/>
                <w:szCs w:val="24"/>
                <w:lang w:eastAsia="zh-CN"/>
              </w:rPr>
              <w:t>—</w:t>
            </w:r>
            <w:r>
              <w:rPr>
                <w:rFonts w:hint="eastAsia" w:ascii="宋体" w:hAnsi="宋体" w:eastAsia="宋体" w:cs="宋体"/>
                <w:sz w:val="24"/>
                <w:szCs w:val="24"/>
              </w:rPr>
              <w:t>20分</w:t>
            </w:r>
          </w:p>
        </w:tc>
        <w:tc>
          <w:tcPr>
            <w:tcW w:w="890" w:type="dxa"/>
            <w:noWrap w:val="0"/>
            <w:vAlign w:val="center"/>
          </w:tcPr>
          <w:p w14:paraId="73CD8874">
            <w:pPr>
              <w:jc w:val="center"/>
              <w:rPr>
                <w:rFonts w:hint="eastAsia" w:ascii="宋体" w:hAnsi="宋体" w:eastAsia="宋体" w:cs="宋体"/>
                <w:sz w:val="24"/>
                <w:szCs w:val="24"/>
                <w:vertAlign w:val="baseline"/>
              </w:rPr>
            </w:pPr>
          </w:p>
        </w:tc>
        <w:tc>
          <w:tcPr>
            <w:tcW w:w="1996" w:type="dxa"/>
            <w:noWrap w:val="0"/>
            <w:vAlign w:val="center"/>
          </w:tcPr>
          <w:p w14:paraId="760E9A4B">
            <w:pPr>
              <w:jc w:val="center"/>
              <w:rPr>
                <w:rFonts w:hint="eastAsia" w:ascii="宋体" w:hAnsi="宋体" w:eastAsia="宋体" w:cs="宋体"/>
                <w:sz w:val="24"/>
                <w:szCs w:val="24"/>
                <w:vertAlign w:val="baseline"/>
              </w:rPr>
            </w:pPr>
          </w:p>
        </w:tc>
      </w:tr>
      <w:tr w14:paraId="36CF4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01169B0D">
            <w:pPr>
              <w:jc w:val="center"/>
              <w:rPr>
                <w:rFonts w:hint="eastAsia" w:ascii="宋体" w:hAnsi="宋体" w:eastAsia="宋体" w:cs="宋体"/>
                <w:sz w:val="24"/>
                <w:szCs w:val="24"/>
                <w:vertAlign w:val="baseline"/>
              </w:rPr>
            </w:pPr>
            <w:r>
              <w:rPr>
                <w:rFonts w:hint="eastAsia" w:ascii="宋体" w:hAnsi="宋体" w:eastAsia="宋体" w:cs="宋体"/>
                <w:sz w:val="24"/>
                <w:szCs w:val="24"/>
              </w:rPr>
              <w:t>院感、安全与保密</w:t>
            </w:r>
          </w:p>
        </w:tc>
        <w:tc>
          <w:tcPr>
            <w:tcW w:w="1102" w:type="dxa"/>
            <w:noWrap w:val="0"/>
            <w:vAlign w:val="center"/>
          </w:tcPr>
          <w:p w14:paraId="13E3FAB2">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20</w:t>
            </w:r>
          </w:p>
        </w:tc>
        <w:tc>
          <w:tcPr>
            <w:tcW w:w="2830" w:type="dxa"/>
            <w:noWrap w:val="0"/>
            <w:vAlign w:val="center"/>
          </w:tcPr>
          <w:p w14:paraId="504F2B0A">
            <w:pPr>
              <w:jc w:val="center"/>
              <w:rPr>
                <w:rFonts w:hint="eastAsia" w:ascii="宋体" w:hAnsi="宋体" w:eastAsia="宋体" w:cs="宋体"/>
                <w:sz w:val="24"/>
                <w:szCs w:val="24"/>
                <w:vertAlign w:val="baseline"/>
              </w:rPr>
            </w:pPr>
            <w:r>
              <w:rPr>
                <w:rFonts w:hint="eastAsia" w:ascii="宋体" w:hAnsi="宋体" w:eastAsia="宋体" w:cs="宋体"/>
                <w:sz w:val="24"/>
                <w:szCs w:val="24"/>
              </w:rPr>
              <w:t>遵守院感、安全及信息保密规定；发生泄密、严重院感违规本项计0分</w:t>
            </w:r>
          </w:p>
        </w:tc>
        <w:tc>
          <w:tcPr>
            <w:tcW w:w="890" w:type="dxa"/>
            <w:noWrap w:val="0"/>
            <w:vAlign w:val="center"/>
          </w:tcPr>
          <w:p w14:paraId="34DBA7D2">
            <w:pPr>
              <w:jc w:val="center"/>
              <w:rPr>
                <w:rFonts w:hint="eastAsia" w:ascii="宋体" w:hAnsi="宋体" w:eastAsia="宋体" w:cs="宋体"/>
                <w:sz w:val="24"/>
                <w:szCs w:val="24"/>
                <w:vertAlign w:val="baseline"/>
              </w:rPr>
            </w:pPr>
          </w:p>
        </w:tc>
        <w:tc>
          <w:tcPr>
            <w:tcW w:w="1996" w:type="dxa"/>
            <w:noWrap w:val="0"/>
            <w:vAlign w:val="center"/>
          </w:tcPr>
          <w:p w14:paraId="7109D67B">
            <w:pPr>
              <w:jc w:val="center"/>
              <w:rPr>
                <w:rFonts w:hint="eastAsia" w:ascii="宋体" w:hAnsi="宋体" w:eastAsia="宋体" w:cs="宋体"/>
                <w:sz w:val="24"/>
                <w:szCs w:val="24"/>
                <w:vertAlign w:val="baseline"/>
              </w:rPr>
            </w:pPr>
          </w:p>
        </w:tc>
      </w:tr>
      <w:tr w14:paraId="18978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1704" w:type="dxa"/>
            <w:noWrap w:val="0"/>
            <w:vAlign w:val="center"/>
          </w:tcPr>
          <w:p w14:paraId="65247C48">
            <w:pPr>
              <w:jc w:val="center"/>
              <w:rPr>
                <w:rFonts w:hint="eastAsia"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合计得分</w:t>
            </w:r>
          </w:p>
        </w:tc>
        <w:tc>
          <w:tcPr>
            <w:tcW w:w="1102" w:type="dxa"/>
            <w:noWrap w:val="0"/>
            <w:vAlign w:val="center"/>
          </w:tcPr>
          <w:p w14:paraId="3C3491C6">
            <w:pPr>
              <w:jc w:val="center"/>
              <w:rPr>
                <w:rFonts w:hint="eastAsia" w:ascii="宋体" w:hAnsi="宋体" w:eastAsia="宋体" w:cs="宋体"/>
                <w:sz w:val="24"/>
                <w:szCs w:val="24"/>
                <w:vertAlign w:val="baseline"/>
              </w:rPr>
            </w:pPr>
          </w:p>
        </w:tc>
        <w:tc>
          <w:tcPr>
            <w:tcW w:w="2830" w:type="dxa"/>
            <w:noWrap w:val="0"/>
            <w:vAlign w:val="center"/>
          </w:tcPr>
          <w:p w14:paraId="364CA2CF">
            <w:pPr>
              <w:jc w:val="center"/>
              <w:rPr>
                <w:rFonts w:hint="eastAsia" w:ascii="宋体" w:hAnsi="宋体" w:eastAsia="宋体" w:cs="宋体"/>
                <w:sz w:val="24"/>
                <w:szCs w:val="24"/>
                <w:vertAlign w:val="baseline"/>
              </w:rPr>
            </w:pPr>
          </w:p>
        </w:tc>
        <w:tc>
          <w:tcPr>
            <w:tcW w:w="890" w:type="dxa"/>
            <w:noWrap w:val="0"/>
            <w:vAlign w:val="center"/>
          </w:tcPr>
          <w:p w14:paraId="74A65F21">
            <w:pPr>
              <w:jc w:val="center"/>
              <w:rPr>
                <w:rFonts w:hint="eastAsia" w:ascii="宋体" w:hAnsi="宋体" w:eastAsia="宋体" w:cs="宋体"/>
                <w:sz w:val="24"/>
                <w:szCs w:val="24"/>
                <w:vertAlign w:val="baseline"/>
              </w:rPr>
            </w:pPr>
          </w:p>
        </w:tc>
        <w:tc>
          <w:tcPr>
            <w:tcW w:w="1996" w:type="dxa"/>
            <w:noWrap w:val="0"/>
            <w:vAlign w:val="center"/>
          </w:tcPr>
          <w:p w14:paraId="0648E3CB">
            <w:pPr>
              <w:jc w:val="center"/>
              <w:rPr>
                <w:rFonts w:hint="eastAsia" w:ascii="宋体" w:hAnsi="宋体" w:eastAsia="宋体" w:cs="宋体"/>
                <w:sz w:val="24"/>
                <w:szCs w:val="24"/>
                <w:vertAlign w:val="baseline"/>
              </w:rPr>
            </w:pPr>
          </w:p>
        </w:tc>
      </w:tr>
    </w:tbl>
    <w:p w14:paraId="2CB7215E">
      <w:pPr>
        <w:jc w:val="center"/>
        <w:rPr>
          <w:rFonts w:ascii="宋体" w:hAnsi="宋体" w:eastAsia="宋体" w:cs="宋体"/>
          <w:sz w:val="24"/>
          <w:szCs w:val="24"/>
        </w:rPr>
      </w:pPr>
    </w:p>
    <w:p w14:paraId="60B38F1F">
      <w:pPr>
        <w:jc w:val="center"/>
        <w:rPr>
          <w:rFonts w:ascii="宋体" w:hAnsi="宋体" w:eastAsia="宋体" w:cs="宋体"/>
          <w:sz w:val="24"/>
          <w:szCs w:val="24"/>
        </w:rPr>
      </w:pPr>
      <w:r>
        <w:rPr>
          <w:rFonts w:ascii="宋体" w:hAnsi="宋体" w:eastAsia="宋体" w:cs="宋体"/>
          <w:sz w:val="24"/>
          <w:szCs w:val="24"/>
        </w:rPr>
        <w:t>考核等级及绩效发放系数（服务商必须严格执行）</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1"/>
        <w:gridCol w:w="2160"/>
        <w:gridCol w:w="2701"/>
      </w:tblGrid>
      <w:tr w14:paraId="39A80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1" w:type="dxa"/>
            <w:noWrap w:val="0"/>
            <w:vAlign w:val="center"/>
          </w:tcPr>
          <w:p w14:paraId="50F9F559">
            <w:pPr>
              <w:jc w:val="center"/>
              <w:rPr>
                <w:rFonts w:hint="eastAsia" w:ascii="宋体" w:hAnsi="宋体" w:eastAsia="宋体" w:cs="宋体"/>
                <w:b/>
                <w:bCs/>
                <w:sz w:val="24"/>
                <w:szCs w:val="24"/>
                <w:vertAlign w:val="baseline"/>
              </w:rPr>
            </w:pPr>
            <w:r>
              <w:rPr>
                <w:rFonts w:ascii="宋体" w:hAnsi="宋体" w:eastAsia="宋体" w:cs="宋体"/>
                <w:b/>
                <w:bCs/>
                <w:sz w:val="24"/>
                <w:szCs w:val="24"/>
              </w:rPr>
              <w:t>总分区间</w:t>
            </w:r>
          </w:p>
        </w:tc>
        <w:tc>
          <w:tcPr>
            <w:tcW w:w="2160" w:type="dxa"/>
            <w:noWrap w:val="0"/>
            <w:vAlign w:val="center"/>
          </w:tcPr>
          <w:p w14:paraId="5E86A11A">
            <w:pPr>
              <w:jc w:val="center"/>
              <w:rPr>
                <w:rFonts w:hint="eastAsia" w:ascii="宋体" w:hAnsi="宋体" w:eastAsia="宋体" w:cs="宋体"/>
                <w:b/>
                <w:bCs/>
                <w:sz w:val="24"/>
                <w:szCs w:val="24"/>
                <w:vertAlign w:val="baseline"/>
              </w:rPr>
            </w:pPr>
            <w:r>
              <w:rPr>
                <w:rFonts w:ascii="宋体" w:hAnsi="宋体" w:eastAsia="宋体" w:cs="宋体"/>
                <w:b/>
                <w:bCs/>
                <w:sz w:val="24"/>
                <w:szCs w:val="24"/>
              </w:rPr>
              <w:t>绩效发放系数</w:t>
            </w:r>
          </w:p>
        </w:tc>
        <w:tc>
          <w:tcPr>
            <w:tcW w:w="2701" w:type="dxa"/>
            <w:noWrap w:val="0"/>
            <w:vAlign w:val="center"/>
          </w:tcPr>
          <w:p w14:paraId="3852E41E">
            <w:pPr>
              <w:jc w:val="center"/>
              <w:rPr>
                <w:rFonts w:hint="eastAsia" w:ascii="宋体" w:hAnsi="宋体" w:eastAsia="宋体" w:cs="宋体"/>
                <w:b/>
                <w:bCs/>
                <w:sz w:val="24"/>
                <w:szCs w:val="24"/>
                <w:vertAlign w:val="baseline"/>
              </w:rPr>
            </w:pPr>
            <w:r>
              <w:rPr>
                <w:rFonts w:ascii="宋体" w:hAnsi="宋体" w:eastAsia="宋体" w:cs="宋体"/>
                <w:b/>
                <w:bCs/>
                <w:sz w:val="24"/>
                <w:szCs w:val="24"/>
              </w:rPr>
              <w:t>科室处置建议</w:t>
            </w:r>
          </w:p>
        </w:tc>
      </w:tr>
      <w:tr w14:paraId="61D3D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1" w:type="dxa"/>
            <w:noWrap w:val="0"/>
            <w:vAlign w:val="center"/>
          </w:tcPr>
          <w:p w14:paraId="58BFB5BD">
            <w:pPr>
              <w:jc w:val="center"/>
              <w:rPr>
                <w:rFonts w:hint="eastAsia" w:ascii="宋体" w:hAnsi="宋体" w:eastAsia="宋体" w:cs="宋体"/>
                <w:sz w:val="24"/>
                <w:szCs w:val="24"/>
                <w:vertAlign w:val="baseline"/>
              </w:rPr>
            </w:pPr>
            <w:r>
              <w:rPr>
                <w:rFonts w:ascii="宋体" w:hAnsi="宋体" w:eastAsia="宋体" w:cs="宋体"/>
                <w:sz w:val="24"/>
                <w:szCs w:val="24"/>
              </w:rPr>
              <w:t>≥90</w:t>
            </w:r>
          </w:p>
        </w:tc>
        <w:tc>
          <w:tcPr>
            <w:tcW w:w="2160" w:type="dxa"/>
            <w:noWrap w:val="0"/>
            <w:vAlign w:val="center"/>
          </w:tcPr>
          <w:p w14:paraId="3FC8F3C3">
            <w:pPr>
              <w:jc w:val="center"/>
              <w:rPr>
                <w:rFonts w:hint="default"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1.0</w:t>
            </w:r>
          </w:p>
        </w:tc>
        <w:tc>
          <w:tcPr>
            <w:tcW w:w="2701" w:type="dxa"/>
            <w:noWrap w:val="0"/>
            <w:vAlign w:val="center"/>
          </w:tcPr>
          <w:p w14:paraId="23C7D2B3">
            <w:pPr>
              <w:jc w:val="center"/>
              <w:rPr>
                <w:rFonts w:hint="eastAsia" w:ascii="宋体" w:hAnsi="宋体" w:eastAsia="宋体" w:cs="宋体"/>
                <w:sz w:val="24"/>
                <w:szCs w:val="24"/>
                <w:vertAlign w:val="baseline"/>
              </w:rPr>
            </w:pPr>
            <w:r>
              <w:rPr>
                <w:rFonts w:ascii="宋体" w:hAnsi="宋体" w:eastAsia="宋体" w:cs="宋体"/>
                <w:sz w:val="24"/>
                <w:szCs w:val="24"/>
              </w:rPr>
              <w:t>继续留用，优先推荐</w:t>
            </w:r>
          </w:p>
        </w:tc>
      </w:tr>
      <w:tr w14:paraId="5E413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1" w:type="dxa"/>
            <w:noWrap w:val="0"/>
            <w:vAlign w:val="center"/>
          </w:tcPr>
          <w:p w14:paraId="116E5BFF">
            <w:pPr>
              <w:jc w:val="center"/>
              <w:rPr>
                <w:rFonts w:hint="eastAsia" w:ascii="宋体" w:hAnsi="宋体" w:eastAsia="宋体" w:cs="宋体"/>
                <w:sz w:val="24"/>
                <w:szCs w:val="24"/>
                <w:vertAlign w:val="baseline"/>
              </w:rPr>
            </w:pPr>
            <w:r>
              <w:rPr>
                <w:rFonts w:ascii="宋体" w:hAnsi="宋体" w:eastAsia="宋体" w:cs="宋体"/>
                <w:sz w:val="24"/>
                <w:szCs w:val="24"/>
              </w:rPr>
              <w:t>80</w:t>
            </w:r>
            <w:r>
              <w:rPr>
                <w:rFonts w:ascii="宋体" w:hAnsi="宋体" w:eastAsia="宋体" w:cs="宋体"/>
                <w:sz w:val="24"/>
                <w:szCs w:val="24"/>
              </w:rPr>
              <w:noBreakHyphen/>
            </w:r>
            <w:r>
              <w:rPr>
                <w:rFonts w:ascii="宋体" w:hAnsi="宋体" w:eastAsia="宋体" w:cs="宋体"/>
                <w:sz w:val="24"/>
                <w:szCs w:val="24"/>
              </w:rPr>
              <w:t>89</w:t>
            </w:r>
          </w:p>
        </w:tc>
        <w:tc>
          <w:tcPr>
            <w:tcW w:w="2160" w:type="dxa"/>
            <w:noWrap w:val="0"/>
            <w:vAlign w:val="center"/>
          </w:tcPr>
          <w:p w14:paraId="047949A1">
            <w:pPr>
              <w:jc w:val="center"/>
              <w:rPr>
                <w:rFonts w:hint="default"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0.8</w:t>
            </w:r>
          </w:p>
        </w:tc>
        <w:tc>
          <w:tcPr>
            <w:tcW w:w="2701" w:type="dxa"/>
            <w:noWrap w:val="0"/>
            <w:vAlign w:val="center"/>
          </w:tcPr>
          <w:p w14:paraId="478A5E7F">
            <w:pPr>
              <w:jc w:val="center"/>
              <w:rPr>
                <w:rFonts w:hint="eastAsia" w:ascii="宋体" w:hAnsi="宋体" w:eastAsia="宋体" w:cs="宋体"/>
                <w:sz w:val="24"/>
                <w:szCs w:val="24"/>
                <w:vertAlign w:val="baseline"/>
              </w:rPr>
            </w:pPr>
            <w:r>
              <w:rPr>
                <w:rFonts w:ascii="宋体" w:hAnsi="宋体" w:eastAsia="宋体" w:cs="宋体"/>
                <w:sz w:val="24"/>
                <w:szCs w:val="24"/>
              </w:rPr>
              <w:t>继续留用</w:t>
            </w:r>
          </w:p>
        </w:tc>
      </w:tr>
      <w:tr w14:paraId="0A82D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1" w:type="dxa"/>
            <w:noWrap w:val="0"/>
            <w:vAlign w:val="center"/>
          </w:tcPr>
          <w:p w14:paraId="71A7CE64">
            <w:pPr>
              <w:jc w:val="center"/>
              <w:rPr>
                <w:rFonts w:hint="eastAsia" w:ascii="宋体" w:hAnsi="宋体" w:eastAsia="宋体" w:cs="宋体"/>
                <w:sz w:val="24"/>
                <w:szCs w:val="24"/>
                <w:vertAlign w:val="baseline"/>
              </w:rPr>
            </w:pPr>
            <w:r>
              <w:rPr>
                <w:rFonts w:ascii="宋体" w:hAnsi="宋体" w:eastAsia="宋体" w:cs="宋体"/>
                <w:sz w:val="24"/>
                <w:szCs w:val="24"/>
              </w:rPr>
              <w:t>70</w:t>
            </w:r>
            <w:r>
              <w:rPr>
                <w:rFonts w:ascii="宋体" w:hAnsi="宋体" w:eastAsia="宋体" w:cs="宋体"/>
                <w:sz w:val="24"/>
                <w:szCs w:val="24"/>
              </w:rPr>
              <w:noBreakHyphen/>
            </w:r>
            <w:r>
              <w:rPr>
                <w:rFonts w:ascii="宋体" w:hAnsi="宋体" w:eastAsia="宋体" w:cs="宋体"/>
                <w:sz w:val="24"/>
                <w:szCs w:val="24"/>
              </w:rPr>
              <w:t>79</w:t>
            </w:r>
          </w:p>
        </w:tc>
        <w:tc>
          <w:tcPr>
            <w:tcW w:w="2160" w:type="dxa"/>
            <w:noWrap w:val="0"/>
            <w:vAlign w:val="center"/>
          </w:tcPr>
          <w:p w14:paraId="758F9C07">
            <w:pPr>
              <w:jc w:val="center"/>
              <w:rPr>
                <w:rFonts w:hint="default"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0.6</w:t>
            </w:r>
          </w:p>
        </w:tc>
        <w:tc>
          <w:tcPr>
            <w:tcW w:w="2701" w:type="dxa"/>
            <w:noWrap w:val="0"/>
            <w:vAlign w:val="center"/>
          </w:tcPr>
          <w:p w14:paraId="4F5D8FB0">
            <w:pPr>
              <w:jc w:val="center"/>
              <w:rPr>
                <w:rFonts w:hint="eastAsia" w:ascii="宋体" w:hAnsi="宋体" w:eastAsia="宋体" w:cs="宋体"/>
                <w:sz w:val="24"/>
                <w:szCs w:val="24"/>
                <w:vertAlign w:val="baseline"/>
              </w:rPr>
            </w:pPr>
            <w:r>
              <w:rPr>
                <w:rFonts w:ascii="宋体" w:hAnsi="宋体" w:eastAsia="宋体" w:cs="宋体"/>
                <w:sz w:val="24"/>
                <w:szCs w:val="24"/>
              </w:rPr>
              <w:t>继续留用，提醒改进</w:t>
            </w:r>
          </w:p>
        </w:tc>
      </w:tr>
      <w:tr w14:paraId="6DE79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1" w:type="dxa"/>
            <w:noWrap w:val="0"/>
            <w:vAlign w:val="center"/>
          </w:tcPr>
          <w:p w14:paraId="32592E3D">
            <w:pPr>
              <w:jc w:val="center"/>
              <w:rPr>
                <w:rFonts w:hint="eastAsia" w:ascii="宋体" w:hAnsi="宋体" w:eastAsia="宋体" w:cs="宋体"/>
                <w:sz w:val="24"/>
                <w:szCs w:val="24"/>
                <w:vertAlign w:val="baseline"/>
              </w:rPr>
            </w:pPr>
            <w:r>
              <w:rPr>
                <w:rFonts w:ascii="宋体" w:hAnsi="宋体" w:eastAsia="宋体" w:cs="宋体"/>
                <w:sz w:val="24"/>
                <w:szCs w:val="24"/>
              </w:rPr>
              <w:t>60</w:t>
            </w:r>
            <w:r>
              <w:rPr>
                <w:rFonts w:ascii="宋体" w:hAnsi="宋体" w:eastAsia="宋体" w:cs="宋体"/>
                <w:sz w:val="24"/>
                <w:szCs w:val="24"/>
              </w:rPr>
              <w:noBreakHyphen/>
            </w:r>
            <w:r>
              <w:rPr>
                <w:rFonts w:ascii="宋体" w:hAnsi="宋体" w:eastAsia="宋体" w:cs="宋体"/>
                <w:sz w:val="24"/>
                <w:szCs w:val="24"/>
              </w:rPr>
              <w:t>69</w:t>
            </w:r>
          </w:p>
        </w:tc>
        <w:tc>
          <w:tcPr>
            <w:tcW w:w="2160" w:type="dxa"/>
            <w:noWrap w:val="0"/>
            <w:vAlign w:val="center"/>
          </w:tcPr>
          <w:p w14:paraId="547F911A">
            <w:pPr>
              <w:jc w:val="center"/>
              <w:rPr>
                <w:rFonts w:hint="default"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0.3</w:t>
            </w:r>
          </w:p>
        </w:tc>
        <w:tc>
          <w:tcPr>
            <w:tcW w:w="2701" w:type="dxa"/>
            <w:noWrap w:val="0"/>
            <w:vAlign w:val="center"/>
          </w:tcPr>
          <w:p w14:paraId="7EC23300">
            <w:pPr>
              <w:jc w:val="center"/>
              <w:rPr>
                <w:rFonts w:hint="eastAsia" w:ascii="宋体" w:hAnsi="宋体" w:eastAsia="宋体" w:cs="宋体"/>
                <w:sz w:val="24"/>
                <w:szCs w:val="24"/>
                <w:vertAlign w:val="baseline"/>
              </w:rPr>
            </w:pPr>
            <w:r>
              <w:rPr>
                <w:rFonts w:ascii="宋体" w:hAnsi="宋体" w:eastAsia="宋体" w:cs="宋体"/>
                <w:sz w:val="24"/>
                <w:szCs w:val="24"/>
              </w:rPr>
              <w:t>谈话警示，</w:t>
            </w:r>
            <w:r>
              <w:rPr>
                <w:rFonts w:hint="eastAsia" w:ascii="宋体" w:hAnsi="宋体" w:cs="宋体"/>
                <w:sz w:val="24"/>
                <w:szCs w:val="24"/>
                <w:lang w:val="en-US" w:eastAsia="zh-CN"/>
              </w:rPr>
              <w:t>7日内</w:t>
            </w:r>
            <w:r>
              <w:rPr>
                <w:rFonts w:ascii="宋体" w:hAnsi="宋体" w:eastAsia="宋体" w:cs="宋体"/>
                <w:sz w:val="24"/>
                <w:szCs w:val="24"/>
              </w:rPr>
              <w:t>整改</w:t>
            </w:r>
          </w:p>
        </w:tc>
      </w:tr>
      <w:tr w14:paraId="6F1A9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1" w:type="dxa"/>
            <w:noWrap w:val="0"/>
            <w:vAlign w:val="center"/>
          </w:tcPr>
          <w:p w14:paraId="1AF38D99">
            <w:pPr>
              <w:jc w:val="center"/>
              <w:rPr>
                <w:rFonts w:hint="eastAsia" w:ascii="宋体" w:hAnsi="宋体" w:eastAsia="宋体" w:cs="宋体"/>
                <w:sz w:val="24"/>
                <w:szCs w:val="24"/>
                <w:vertAlign w:val="baseline"/>
              </w:rPr>
            </w:pPr>
            <w:bookmarkStart w:id="0" w:name="_GoBack"/>
            <w:r>
              <w:rPr>
                <w:rFonts w:hint="eastAsia" w:ascii="宋体" w:hAnsi="宋体" w:eastAsia="宋体" w:cs="宋体"/>
                <w:sz w:val="24"/>
                <w:szCs w:val="24"/>
                <w:lang w:eastAsia="zh-CN"/>
              </w:rPr>
              <w:t>&lt;</w:t>
            </w:r>
            <w:bookmarkEnd w:id="0"/>
            <w:r>
              <w:rPr>
                <w:rFonts w:ascii="宋体" w:hAnsi="宋体" w:eastAsia="宋体" w:cs="宋体"/>
                <w:sz w:val="24"/>
                <w:szCs w:val="24"/>
              </w:rPr>
              <w:t>60</w:t>
            </w:r>
          </w:p>
        </w:tc>
        <w:tc>
          <w:tcPr>
            <w:tcW w:w="2160" w:type="dxa"/>
            <w:noWrap w:val="0"/>
            <w:vAlign w:val="center"/>
          </w:tcPr>
          <w:p w14:paraId="4EC15779">
            <w:pPr>
              <w:jc w:val="center"/>
              <w:rPr>
                <w:rFonts w:hint="eastAsia"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0</w:t>
            </w:r>
          </w:p>
        </w:tc>
        <w:tc>
          <w:tcPr>
            <w:tcW w:w="2701" w:type="dxa"/>
            <w:noWrap w:val="0"/>
            <w:vAlign w:val="center"/>
          </w:tcPr>
          <w:p w14:paraId="2145DD91">
            <w:pPr>
              <w:jc w:val="center"/>
              <w:rPr>
                <w:rFonts w:hint="eastAsia" w:ascii="宋体" w:hAnsi="宋体" w:eastAsia="宋体" w:cs="宋体"/>
                <w:sz w:val="24"/>
                <w:szCs w:val="24"/>
                <w:vertAlign w:val="baseline"/>
                <w:lang w:eastAsia="zh-CN"/>
              </w:rPr>
            </w:pPr>
            <w:r>
              <w:rPr>
                <w:rFonts w:ascii="宋体" w:hAnsi="宋体" w:eastAsia="宋体" w:cs="宋体"/>
                <w:sz w:val="24"/>
                <w:szCs w:val="24"/>
              </w:rPr>
              <w:t>建议服务商更换人员</w:t>
            </w:r>
          </w:p>
        </w:tc>
      </w:tr>
    </w:tbl>
    <w:p w14:paraId="7D68D3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p>
    <w:p w14:paraId="69375AB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科室综合意见：____________________________________________________</w:t>
      </w:r>
    </w:p>
    <w:p w14:paraId="57A6DE7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p>
    <w:p w14:paraId="27BE80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科室负责人签字：________ 被考核人员确认签字：________ 日期：________</w:t>
      </w:r>
    </w:p>
    <w:p w14:paraId="2D9F02B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p>
    <w:p w14:paraId="10630CED">
      <w:pPr>
        <w:jc w:val="left"/>
        <w:rPr>
          <w:rFonts w:ascii="宋体" w:hAnsi="宋体" w:eastAsia="宋体" w:cs="宋体"/>
          <w:sz w:val="24"/>
          <w:szCs w:val="24"/>
        </w:rPr>
      </w:pPr>
      <w:r>
        <w:rPr>
          <w:rFonts w:ascii="宋体" w:hAnsi="宋体" w:eastAsia="宋体" w:cs="宋体"/>
          <w:sz w:val="24"/>
          <w:szCs w:val="24"/>
        </w:rPr>
        <w:t>备注：每月月末各科室完成考核，统一报送医院项目管理小组；医院有权核查服务商绩效发放凭证。</w:t>
      </w:r>
    </w:p>
    <w:p w14:paraId="0A3058B6">
      <w:pPr>
        <w:jc w:val="center"/>
        <w:rPr>
          <w:rFonts w:ascii="宋体" w:hAnsi="宋体" w:eastAsia="宋体" w:cs="宋体"/>
          <w:sz w:val="24"/>
          <w:szCs w:val="24"/>
        </w:rPr>
      </w:pPr>
    </w:p>
    <w:p w14:paraId="6BB14A5A">
      <w:pPr>
        <w:jc w:val="center"/>
        <w:rPr>
          <w:rFonts w:ascii="宋体" w:hAnsi="宋体" w:eastAsia="宋体" w:cs="宋体"/>
          <w:sz w:val="24"/>
          <w:szCs w:val="24"/>
        </w:rPr>
      </w:pPr>
    </w:p>
    <w:p w14:paraId="6D9EF857">
      <w:pPr>
        <w:jc w:val="both"/>
        <w:rPr>
          <w:rFonts w:hint="eastAsia" w:ascii="宋体" w:hAnsi="宋体" w:cs="宋体"/>
          <w:sz w:val="24"/>
          <w:szCs w:val="24"/>
          <w:lang w:val="en-US" w:eastAsia="zh-CN"/>
        </w:rPr>
      </w:pPr>
    </w:p>
    <w:p w14:paraId="0E762B57">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lang w:val="en-US" w:eastAsia="zh-CN"/>
        </w:rPr>
        <w:t>成都市新津区人民医院</w:t>
      </w:r>
      <w:r>
        <w:rPr>
          <w:rFonts w:hint="eastAsia" w:ascii="方正小标宋简体" w:hAnsi="方正小标宋简体" w:eastAsia="方正小标宋简体" w:cs="方正小标宋简体"/>
          <w:sz w:val="36"/>
          <w:szCs w:val="36"/>
        </w:rPr>
        <w:t>辅助性服务科室月度满意度</w:t>
      </w:r>
      <w:r>
        <w:rPr>
          <w:rFonts w:hint="eastAsia" w:ascii="方正小标宋简体" w:hAnsi="方正小标宋简体" w:eastAsia="方正小标宋简体" w:cs="方正小标宋简体"/>
          <w:sz w:val="36"/>
          <w:szCs w:val="36"/>
          <w:lang w:val="en-US" w:eastAsia="zh-CN"/>
        </w:rPr>
        <w:t>评分</w:t>
      </w:r>
      <w:r>
        <w:rPr>
          <w:rFonts w:hint="eastAsia" w:ascii="方正小标宋简体" w:hAnsi="方正小标宋简体" w:eastAsia="方正小标宋简体" w:cs="方正小标宋简体"/>
          <w:sz w:val="36"/>
          <w:szCs w:val="36"/>
        </w:rPr>
        <w:t>表</w:t>
      </w:r>
    </w:p>
    <w:p w14:paraId="686C0641">
      <w:pPr>
        <w:jc w:val="left"/>
        <w:rPr>
          <w:rStyle w:val="10"/>
          <w:rFonts w:ascii="宋体" w:hAnsi="宋体" w:eastAsia="宋体" w:cs="宋体"/>
          <w:b w:val="0"/>
          <w:bCs w:val="0"/>
          <w:color w:val="000000"/>
          <w:sz w:val="24"/>
          <w:szCs w:val="24"/>
        </w:rPr>
      </w:pPr>
      <w:r>
        <w:rPr>
          <w:rFonts w:ascii="宋体" w:hAnsi="宋体" w:eastAsia="宋体" w:cs="宋体"/>
          <w:sz w:val="24"/>
          <w:szCs w:val="24"/>
        </w:rPr>
        <w:t>考核月份：</w:t>
      </w:r>
      <w:r>
        <w:rPr>
          <w:rStyle w:val="10"/>
          <w:rFonts w:ascii="宋体" w:hAnsi="宋体" w:eastAsia="宋体" w:cs="宋体"/>
          <w:b/>
          <w:bCs/>
          <w:color w:val="000000"/>
          <w:sz w:val="24"/>
          <w:szCs w:val="24"/>
        </w:rPr>
        <w:t>______</w:t>
      </w:r>
      <w:r>
        <w:rPr>
          <w:rStyle w:val="10"/>
          <w:rFonts w:ascii="宋体" w:hAnsi="宋体" w:eastAsia="宋体" w:cs="宋体"/>
          <w:b w:val="0"/>
          <w:bCs w:val="0"/>
          <w:color w:val="000000"/>
          <w:sz w:val="24"/>
          <w:szCs w:val="24"/>
        </w:rPr>
        <w:t>年______月</w:t>
      </w:r>
    </w:p>
    <w:p w14:paraId="72FB7C4F">
      <w:pPr>
        <w:jc w:val="left"/>
        <w:rPr>
          <w:rFonts w:ascii="宋体" w:hAnsi="宋体" w:eastAsia="宋体" w:cs="宋体"/>
          <w:sz w:val="24"/>
          <w:szCs w:val="24"/>
        </w:rPr>
      </w:pPr>
      <w:r>
        <w:rPr>
          <w:rStyle w:val="10"/>
          <w:rFonts w:ascii="宋体" w:hAnsi="宋体" w:eastAsia="宋体" w:cs="宋体"/>
          <w:b w:val="0"/>
          <w:bCs w:val="0"/>
          <w:color w:val="000000"/>
          <w:sz w:val="24"/>
          <w:szCs w:val="24"/>
        </w:rPr>
        <w:t>填报科室：</w:t>
      </w:r>
      <w:r>
        <w:rPr>
          <w:rFonts w:ascii="宋体" w:hAnsi="宋体" w:eastAsia="宋体" w:cs="宋体"/>
          <w:b w:val="0"/>
          <w:bCs w:val="0"/>
          <w:sz w:val="24"/>
          <w:szCs w:val="24"/>
        </w:rPr>
        <w:t>__________填</w:t>
      </w:r>
      <w:r>
        <w:rPr>
          <w:rFonts w:ascii="宋体" w:hAnsi="宋体" w:eastAsia="宋体" w:cs="宋体"/>
          <w:sz w:val="24"/>
          <w:szCs w:val="24"/>
        </w:rPr>
        <w:t>表人：____________（科室负责人）</w:t>
      </w:r>
    </w:p>
    <w:p w14:paraId="15D89914">
      <w:pPr>
        <w:jc w:val="left"/>
        <w:rPr>
          <w:rFonts w:ascii="宋体" w:hAnsi="宋体" w:eastAsia="宋体" w:cs="宋体"/>
          <w:sz w:val="24"/>
          <w:szCs w:val="24"/>
        </w:rPr>
      </w:pPr>
      <w:r>
        <w:rPr>
          <w:rFonts w:ascii="宋体" w:hAnsi="宋体" w:eastAsia="宋体" w:cs="宋体"/>
          <w:sz w:val="24"/>
          <w:szCs w:val="24"/>
        </w:rPr>
        <w:t>填报日期：______年______月______日</w:t>
      </w:r>
    </w:p>
    <w:p w14:paraId="3455DE96">
      <w:pPr>
        <w:jc w:val="left"/>
        <w:rPr>
          <w:rFonts w:ascii="宋体" w:hAnsi="宋体" w:eastAsia="宋体" w:cs="宋体"/>
          <w:sz w:val="24"/>
          <w:szCs w:val="24"/>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753"/>
        <w:gridCol w:w="3062"/>
        <w:gridCol w:w="713"/>
        <w:gridCol w:w="2290"/>
      </w:tblGrid>
      <w:tr w14:paraId="0696B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21CC33B5">
            <w:pPr>
              <w:jc w:val="center"/>
              <w:rPr>
                <w:rFonts w:hint="eastAsia" w:ascii="宋体" w:hAnsi="宋体" w:eastAsia="宋体" w:cs="宋体"/>
                <w:b/>
                <w:bCs/>
                <w:sz w:val="24"/>
                <w:szCs w:val="24"/>
                <w:vertAlign w:val="baseline"/>
              </w:rPr>
            </w:pPr>
            <w:r>
              <w:rPr>
                <w:rFonts w:ascii="宋体" w:hAnsi="宋体" w:eastAsia="宋体" w:cs="宋体"/>
                <w:b/>
                <w:bCs/>
                <w:sz w:val="24"/>
                <w:szCs w:val="24"/>
              </w:rPr>
              <w:t>评价维度</w:t>
            </w:r>
          </w:p>
        </w:tc>
        <w:tc>
          <w:tcPr>
            <w:tcW w:w="753" w:type="dxa"/>
            <w:noWrap w:val="0"/>
            <w:vAlign w:val="center"/>
          </w:tcPr>
          <w:p w14:paraId="510139B9">
            <w:pPr>
              <w:jc w:val="center"/>
              <w:rPr>
                <w:rFonts w:hint="eastAsia" w:ascii="宋体" w:hAnsi="宋体" w:eastAsia="宋体" w:cs="宋体"/>
                <w:b/>
                <w:bCs/>
                <w:sz w:val="24"/>
                <w:szCs w:val="24"/>
                <w:vertAlign w:val="baseline"/>
                <w:lang w:val="en-US" w:eastAsia="zh-CN"/>
              </w:rPr>
            </w:pPr>
            <w:r>
              <w:rPr>
                <w:rFonts w:hint="eastAsia" w:ascii="宋体" w:hAnsi="宋体" w:cs="宋体"/>
                <w:b/>
                <w:bCs/>
                <w:sz w:val="24"/>
                <w:szCs w:val="24"/>
                <w:vertAlign w:val="baseline"/>
                <w:lang w:val="en-US" w:eastAsia="zh-CN"/>
              </w:rPr>
              <w:t>分值</w:t>
            </w:r>
          </w:p>
        </w:tc>
        <w:tc>
          <w:tcPr>
            <w:tcW w:w="3062" w:type="dxa"/>
            <w:noWrap w:val="0"/>
            <w:vAlign w:val="center"/>
          </w:tcPr>
          <w:p w14:paraId="0F78201B">
            <w:pPr>
              <w:jc w:val="center"/>
              <w:rPr>
                <w:rFonts w:hint="eastAsia" w:ascii="宋体" w:hAnsi="宋体" w:eastAsia="宋体" w:cs="宋体"/>
                <w:b/>
                <w:bCs/>
                <w:sz w:val="24"/>
                <w:szCs w:val="24"/>
                <w:vertAlign w:val="baseline"/>
                <w:lang w:val="en-US" w:eastAsia="zh-CN"/>
              </w:rPr>
            </w:pPr>
            <w:r>
              <w:rPr>
                <w:rFonts w:hint="eastAsia" w:ascii="宋体" w:hAnsi="宋体" w:cs="宋体"/>
                <w:b/>
                <w:bCs/>
                <w:sz w:val="24"/>
                <w:szCs w:val="24"/>
                <w:vertAlign w:val="baseline"/>
                <w:lang w:val="en-US" w:eastAsia="zh-CN"/>
              </w:rPr>
              <w:t>评价内容</w:t>
            </w:r>
          </w:p>
        </w:tc>
        <w:tc>
          <w:tcPr>
            <w:tcW w:w="713" w:type="dxa"/>
            <w:noWrap w:val="0"/>
            <w:vAlign w:val="center"/>
          </w:tcPr>
          <w:p w14:paraId="66106AA7">
            <w:pPr>
              <w:jc w:val="center"/>
              <w:rPr>
                <w:rFonts w:hint="eastAsia" w:ascii="宋体" w:hAnsi="宋体" w:eastAsia="宋体" w:cs="宋体"/>
                <w:b/>
                <w:bCs/>
                <w:sz w:val="24"/>
                <w:szCs w:val="24"/>
                <w:vertAlign w:val="baseline"/>
                <w:lang w:val="en-US" w:eastAsia="zh-CN"/>
              </w:rPr>
            </w:pPr>
            <w:r>
              <w:rPr>
                <w:rFonts w:hint="eastAsia" w:ascii="宋体" w:hAnsi="宋体" w:cs="宋体"/>
                <w:b/>
                <w:bCs/>
                <w:sz w:val="24"/>
                <w:szCs w:val="24"/>
                <w:vertAlign w:val="baseline"/>
                <w:lang w:val="en-US" w:eastAsia="zh-CN"/>
              </w:rPr>
              <w:t>得分</w:t>
            </w:r>
          </w:p>
        </w:tc>
        <w:tc>
          <w:tcPr>
            <w:tcW w:w="2290" w:type="dxa"/>
            <w:noWrap w:val="0"/>
            <w:vAlign w:val="center"/>
          </w:tcPr>
          <w:p w14:paraId="2E047E1A">
            <w:pPr>
              <w:jc w:val="center"/>
              <w:rPr>
                <w:rFonts w:hint="eastAsia" w:ascii="宋体" w:hAnsi="宋体" w:eastAsia="宋体" w:cs="宋体"/>
                <w:b/>
                <w:bCs/>
                <w:sz w:val="24"/>
                <w:szCs w:val="24"/>
                <w:vertAlign w:val="baseline"/>
                <w:lang w:val="en-US" w:eastAsia="zh-CN"/>
              </w:rPr>
            </w:pPr>
            <w:r>
              <w:rPr>
                <w:rFonts w:hint="eastAsia" w:ascii="宋体" w:hAnsi="宋体" w:cs="宋体"/>
                <w:b/>
                <w:bCs/>
                <w:sz w:val="24"/>
                <w:szCs w:val="24"/>
                <w:vertAlign w:val="baseline"/>
                <w:lang w:val="en-US" w:eastAsia="zh-CN"/>
              </w:rPr>
              <w:t>扣分说明</w:t>
            </w:r>
          </w:p>
        </w:tc>
      </w:tr>
      <w:tr w14:paraId="374BC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64EF11A8">
            <w:pPr>
              <w:jc w:val="center"/>
              <w:rPr>
                <w:rFonts w:hint="eastAsia" w:ascii="宋体" w:hAnsi="宋体" w:eastAsia="宋体" w:cs="宋体"/>
                <w:sz w:val="24"/>
                <w:szCs w:val="24"/>
                <w:vertAlign w:val="baseline"/>
              </w:rPr>
            </w:pPr>
            <w:r>
              <w:rPr>
                <w:rFonts w:ascii="宋体" w:hAnsi="宋体" w:eastAsia="宋体" w:cs="宋体"/>
                <w:sz w:val="24"/>
                <w:szCs w:val="24"/>
              </w:rPr>
              <w:t>人员配置保障</w:t>
            </w:r>
          </w:p>
        </w:tc>
        <w:tc>
          <w:tcPr>
            <w:tcW w:w="753" w:type="dxa"/>
            <w:noWrap w:val="0"/>
            <w:vAlign w:val="center"/>
          </w:tcPr>
          <w:p w14:paraId="453275AA">
            <w:pPr>
              <w:jc w:val="center"/>
              <w:rPr>
                <w:rFonts w:hint="default"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25</w:t>
            </w:r>
          </w:p>
        </w:tc>
        <w:tc>
          <w:tcPr>
            <w:tcW w:w="3062" w:type="dxa"/>
            <w:noWrap w:val="0"/>
            <w:vAlign w:val="center"/>
          </w:tcPr>
          <w:p w14:paraId="51F70637">
            <w:pPr>
              <w:jc w:val="center"/>
              <w:rPr>
                <w:rFonts w:hint="eastAsia" w:ascii="宋体" w:hAnsi="宋体" w:eastAsia="宋体" w:cs="宋体"/>
                <w:sz w:val="24"/>
                <w:szCs w:val="24"/>
                <w:vertAlign w:val="baseline"/>
              </w:rPr>
            </w:pPr>
            <w:r>
              <w:rPr>
                <w:rFonts w:ascii="宋体" w:hAnsi="宋体" w:eastAsia="宋体" w:cs="宋体"/>
                <w:sz w:val="24"/>
                <w:szCs w:val="24"/>
              </w:rPr>
              <w:t>派驻岗位人员到岗数量满足科室业务需求；人员离岗后补位及时；人员更换做好交接，未出现工作断档。</w:t>
            </w:r>
          </w:p>
        </w:tc>
        <w:tc>
          <w:tcPr>
            <w:tcW w:w="713" w:type="dxa"/>
            <w:noWrap w:val="0"/>
            <w:vAlign w:val="center"/>
          </w:tcPr>
          <w:p w14:paraId="27D78BB6">
            <w:pPr>
              <w:jc w:val="center"/>
              <w:rPr>
                <w:rFonts w:hint="eastAsia" w:ascii="宋体" w:hAnsi="宋体" w:eastAsia="宋体" w:cs="宋体"/>
                <w:sz w:val="24"/>
                <w:szCs w:val="24"/>
                <w:vertAlign w:val="baseline"/>
              </w:rPr>
            </w:pPr>
          </w:p>
        </w:tc>
        <w:tc>
          <w:tcPr>
            <w:tcW w:w="2290" w:type="dxa"/>
            <w:noWrap w:val="0"/>
            <w:vAlign w:val="center"/>
          </w:tcPr>
          <w:p w14:paraId="4F1BB37E">
            <w:pPr>
              <w:jc w:val="center"/>
              <w:rPr>
                <w:rFonts w:hint="eastAsia" w:ascii="宋体" w:hAnsi="宋体" w:eastAsia="宋体" w:cs="宋体"/>
                <w:sz w:val="24"/>
                <w:szCs w:val="24"/>
                <w:vertAlign w:val="baseline"/>
              </w:rPr>
            </w:pPr>
          </w:p>
        </w:tc>
      </w:tr>
      <w:tr w14:paraId="0AA5F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1D93E456">
            <w:pPr>
              <w:jc w:val="center"/>
              <w:rPr>
                <w:rFonts w:hint="eastAsia" w:ascii="宋体" w:hAnsi="宋体" w:eastAsia="宋体" w:cs="宋体"/>
                <w:sz w:val="24"/>
                <w:szCs w:val="24"/>
                <w:vertAlign w:val="baseline"/>
              </w:rPr>
            </w:pPr>
            <w:r>
              <w:rPr>
                <w:rFonts w:ascii="宋体" w:hAnsi="宋体" w:eastAsia="宋体" w:cs="宋体"/>
                <w:sz w:val="24"/>
                <w:szCs w:val="24"/>
              </w:rPr>
              <w:t>业务履职能力</w:t>
            </w:r>
          </w:p>
        </w:tc>
        <w:tc>
          <w:tcPr>
            <w:tcW w:w="753" w:type="dxa"/>
            <w:noWrap w:val="0"/>
            <w:vAlign w:val="center"/>
          </w:tcPr>
          <w:p w14:paraId="7B36AF16">
            <w:pPr>
              <w:jc w:val="center"/>
              <w:rPr>
                <w:rFonts w:hint="default"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30</w:t>
            </w:r>
          </w:p>
        </w:tc>
        <w:tc>
          <w:tcPr>
            <w:tcW w:w="3062" w:type="dxa"/>
            <w:noWrap w:val="0"/>
            <w:vAlign w:val="center"/>
          </w:tcPr>
          <w:p w14:paraId="6B1EAE03">
            <w:pPr>
              <w:jc w:val="center"/>
              <w:rPr>
                <w:rFonts w:hint="eastAsia" w:ascii="宋体" w:hAnsi="宋体" w:eastAsia="宋体" w:cs="宋体"/>
                <w:sz w:val="24"/>
                <w:szCs w:val="24"/>
                <w:vertAlign w:val="baseline"/>
              </w:rPr>
            </w:pPr>
            <w:r>
              <w:rPr>
                <w:rFonts w:ascii="宋体" w:hAnsi="宋体" w:eastAsia="宋体" w:cs="宋体"/>
                <w:sz w:val="24"/>
                <w:szCs w:val="24"/>
              </w:rPr>
              <w:t>辅助人员熟悉岗位职责，业务操作熟练；各项交办工作按时完成，工作差错少。</w:t>
            </w:r>
          </w:p>
        </w:tc>
        <w:tc>
          <w:tcPr>
            <w:tcW w:w="713" w:type="dxa"/>
            <w:noWrap w:val="0"/>
            <w:vAlign w:val="center"/>
          </w:tcPr>
          <w:p w14:paraId="5964FA1E">
            <w:pPr>
              <w:jc w:val="center"/>
              <w:rPr>
                <w:rFonts w:hint="eastAsia" w:ascii="宋体" w:hAnsi="宋体" w:eastAsia="宋体" w:cs="宋体"/>
                <w:sz w:val="24"/>
                <w:szCs w:val="24"/>
                <w:vertAlign w:val="baseline"/>
              </w:rPr>
            </w:pPr>
          </w:p>
        </w:tc>
        <w:tc>
          <w:tcPr>
            <w:tcW w:w="2290" w:type="dxa"/>
            <w:noWrap w:val="0"/>
            <w:vAlign w:val="center"/>
          </w:tcPr>
          <w:p w14:paraId="20940F91">
            <w:pPr>
              <w:jc w:val="center"/>
              <w:rPr>
                <w:rFonts w:hint="eastAsia" w:ascii="宋体" w:hAnsi="宋体" w:eastAsia="宋体" w:cs="宋体"/>
                <w:sz w:val="24"/>
                <w:szCs w:val="24"/>
                <w:vertAlign w:val="baseline"/>
              </w:rPr>
            </w:pPr>
          </w:p>
        </w:tc>
      </w:tr>
      <w:tr w14:paraId="2AA61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7B5214A3">
            <w:pPr>
              <w:jc w:val="center"/>
              <w:rPr>
                <w:rFonts w:hint="eastAsia" w:ascii="宋体" w:hAnsi="宋体" w:eastAsia="宋体" w:cs="宋体"/>
                <w:sz w:val="24"/>
                <w:szCs w:val="24"/>
                <w:vertAlign w:val="baseline"/>
              </w:rPr>
            </w:pPr>
            <w:r>
              <w:rPr>
                <w:rFonts w:ascii="宋体" w:hAnsi="宋体" w:eastAsia="宋体" w:cs="宋体"/>
                <w:sz w:val="24"/>
                <w:szCs w:val="24"/>
              </w:rPr>
              <w:t>协作与服务态度</w:t>
            </w:r>
          </w:p>
        </w:tc>
        <w:tc>
          <w:tcPr>
            <w:tcW w:w="753" w:type="dxa"/>
            <w:noWrap w:val="0"/>
            <w:vAlign w:val="center"/>
          </w:tcPr>
          <w:p w14:paraId="7801125F">
            <w:pPr>
              <w:jc w:val="center"/>
              <w:rPr>
                <w:rFonts w:hint="default"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20</w:t>
            </w:r>
          </w:p>
        </w:tc>
        <w:tc>
          <w:tcPr>
            <w:tcW w:w="3062" w:type="dxa"/>
            <w:noWrap w:val="0"/>
            <w:vAlign w:val="center"/>
          </w:tcPr>
          <w:p w14:paraId="511900FB">
            <w:pPr>
              <w:jc w:val="center"/>
              <w:rPr>
                <w:rFonts w:hint="eastAsia" w:ascii="宋体" w:hAnsi="宋体" w:eastAsia="宋体" w:cs="宋体"/>
                <w:sz w:val="24"/>
                <w:szCs w:val="24"/>
                <w:vertAlign w:val="baseline"/>
              </w:rPr>
            </w:pPr>
            <w:r>
              <w:rPr>
                <w:rFonts w:ascii="宋体" w:hAnsi="宋体" w:eastAsia="宋体" w:cs="宋体"/>
                <w:sz w:val="24"/>
                <w:szCs w:val="24"/>
              </w:rPr>
              <w:t>辅助人员能够主动配合科室医护开展工作；对待患者、职工文明礼貌，无服务态度冲突</w:t>
            </w:r>
          </w:p>
        </w:tc>
        <w:tc>
          <w:tcPr>
            <w:tcW w:w="713" w:type="dxa"/>
            <w:noWrap w:val="0"/>
            <w:vAlign w:val="center"/>
          </w:tcPr>
          <w:p w14:paraId="3CDBBA84">
            <w:pPr>
              <w:jc w:val="center"/>
              <w:rPr>
                <w:rFonts w:hint="eastAsia" w:ascii="宋体" w:hAnsi="宋体" w:eastAsia="宋体" w:cs="宋体"/>
                <w:sz w:val="24"/>
                <w:szCs w:val="24"/>
                <w:vertAlign w:val="baseline"/>
              </w:rPr>
            </w:pPr>
          </w:p>
        </w:tc>
        <w:tc>
          <w:tcPr>
            <w:tcW w:w="2290" w:type="dxa"/>
            <w:noWrap w:val="0"/>
            <w:vAlign w:val="center"/>
          </w:tcPr>
          <w:p w14:paraId="2AA0FA05">
            <w:pPr>
              <w:jc w:val="center"/>
              <w:rPr>
                <w:rFonts w:hint="eastAsia" w:ascii="宋体" w:hAnsi="宋体" w:eastAsia="宋体" w:cs="宋体"/>
                <w:sz w:val="24"/>
                <w:szCs w:val="24"/>
                <w:vertAlign w:val="baseline"/>
              </w:rPr>
            </w:pPr>
          </w:p>
        </w:tc>
      </w:tr>
      <w:tr w14:paraId="65953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32F66C3D">
            <w:pPr>
              <w:jc w:val="center"/>
              <w:rPr>
                <w:rFonts w:hint="eastAsia" w:ascii="宋体" w:hAnsi="宋体" w:eastAsia="宋体" w:cs="宋体"/>
                <w:sz w:val="24"/>
                <w:szCs w:val="24"/>
                <w:vertAlign w:val="baseline"/>
              </w:rPr>
            </w:pPr>
            <w:r>
              <w:rPr>
                <w:rFonts w:ascii="宋体" w:hAnsi="宋体" w:eastAsia="宋体" w:cs="宋体"/>
                <w:sz w:val="24"/>
                <w:szCs w:val="24"/>
              </w:rPr>
              <w:t>劳动纪律管理</w:t>
            </w:r>
          </w:p>
        </w:tc>
        <w:tc>
          <w:tcPr>
            <w:tcW w:w="753" w:type="dxa"/>
            <w:noWrap w:val="0"/>
            <w:vAlign w:val="center"/>
          </w:tcPr>
          <w:p w14:paraId="52771F64">
            <w:pPr>
              <w:jc w:val="center"/>
              <w:rPr>
                <w:rFonts w:hint="default"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10</w:t>
            </w:r>
          </w:p>
        </w:tc>
        <w:tc>
          <w:tcPr>
            <w:tcW w:w="3062" w:type="dxa"/>
            <w:noWrap w:val="0"/>
            <w:vAlign w:val="center"/>
          </w:tcPr>
          <w:p w14:paraId="55035F2D">
            <w:pPr>
              <w:jc w:val="center"/>
              <w:rPr>
                <w:rFonts w:hint="eastAsia" w:ascii="宋体" w:hAnsi="宋体" w:eastAsia="宋体" w:cs="宋体"/>
                <w:sz w:val="24"/>
                <w:szCs w:val="24"/>
                <w:vertAlign w:val="baseline"/>
              </w:rPr>
            </w:pPr>
            <w:r>
              <w:rPr>
                <w:rFonts w:ascii="宋体" w:hAnsi="宋体" w:eastAsia="宋体" w:cs="宋体"/>
                <w:sz w:val="24"/>
                <w:szCs w:val="24"/>
              </w:rPr>
              <w:t>派驻人员遵守科室考勤，迟到、早退、脱岗现象少；服从科室合理工作安排。</w:t>
            </w:r>
          </w:p>
        </w:tc>
        <w:tc>
          <w:tcPr>
            <w:tcW w:w="713" w:type="dxa"/>
            <w:noWrap w:val="0"/>
            <w:vAlign w:val="center"/>
          </w:tcPr>
          <w:p w14:paraId="102C0E53">
            <w:pPr>
              <w:jc w:val="center"/>
              <w:rPr>
                <w:rFonts w:hint="eastAsia" w:ascii="宋体" w:hAnsi="宋体" w:eastAsia="宋体" w:cs="宋体"/>
                <w:sz w:val="24"/>
                <w:szCs w:val="24"/>
                <w:vertAlign w:val="baseline"/>
              </w:rPr>
            </w:pPr>
          </w:p>
        </w:tc>
        <w:tc>
          <w:tcPr>
            <w:tcW w:w="2290" w:type="dxa"/>
            <w:noWrap w:val="0"/>
            <w:vAlign w:val="center"/>
          </w:tcPr>
          <w:p w14:paraId="6C5A4F3A">
            <w:pPr>
              <w:jc w:val="center"/>
              <w:rPr>
                <w:rFonts w:hint="eastAsia" w:ascii="宋体" w:hAnsi="宋体" w:eastAsia="宋体" w:cs="宋体"/>
                <w:sz w:val="24"/>
                <w:szCs w:val="24"/>
                <w:vertAlign w:val="baseline"/>
              </w:rPr>
            </w:pPr>
          </w:p>
        </w:tc>
      </w:tr>
      <w:tr w14:paraId="5A672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3BEDCF5C">
            <w:pPr>
              <w:jc w:val="center"/>
              <w:rPr>
                <w:rFonts w:hint="eastAsia" w:ascii="宋体" w:hAnsi="宋体" w:eastAsia="宋体" w:cs="宋体"/>
                <w:sz w:val="24"/>
                <w:szCs w:val="24"/>
                <w:vertAlign w:val="baseline"/>
              </w:rPr>
            </w:pPr>
            <w:r>
              <w:rPr>
                <w:rFonts w:ascii="宋体" w:hAnsi="宋体" w:eastAsia="宋体" w:cs="宋体"/>
                <w:sz w:val="24"/>
                <w:szCs w:val="24"/>
              </w:rPr>
              <w:t>院感与信息保密</w:t>
            </w:r>
          </w:p>
        </w:tc>
        <w:tc>
          <w:tcPr>
            <w:tcW w:w="753" w:type="dxa"/>
            <w:noWrap w:val="0"/>
            <w:vAlign w:val="center"/>
          </w:tcPr>
          <w:p w14:paraId="28B9E4CB">
            <w:pPr>
              <w:jc w:val="center"/>
              <w:rPr>
                <w:rFonts w:hint="default"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10</w:t>
            </w:r>
          </w:p>
        </w:tc>
        <w:tc>
          <w:tcPr>
            <w:tcW w:w="3062" w:type="dxa"/>
            <w:noWrap w:val="0"/>
            <w:vAlign w:val="center"/>
          </w:tcPr>
          <w:p w14:paraId="3493F789">
            <w:pPr>
              <w:jc w:val="center"/>
              <w:rPr>
                <w:rFonts w:hint="eastAsia" w:ascii="宋体" w:hAnsi="宋体" w:eastAsia="宋体" w:cs="宋体"/>
                <w:sz w:val="24"/>
                <w:szCs w:val="24"/>
                <w:vertAlign w:val="baseline"/>
              </w:rPr>
            </w:pPr>
            <w:r>
              <w:rPr>
                <w:rFonts w:ascii="宋体" w:hAnsi="宋体" w:eastAsia="宋体" w:cs="宋体"/>
                <w:sz w:val="24"/>
                <w:szCs w:val="24"/>
              </w:rPr>
              <w:t>能够执行院感相关操作规范；严格保守患者信息、病案资料，无泄密风险。</w:t>
            </w:r>
          </w:p>
        </w:tc>
        <w:tc>
          <w:tcPr>
            <w:tcW w:w="713" w:type="dxa"/>
            <w:noWrap w:val="0"/>
            <w:vAlign w:val="center"/>
          </w:tcPr>
          <w:p w14:paraId="2D72F454">
            <w:pPr>
              <w:jc w:val="center"/>
              <w:rPr>
                <w:rFonts w:hint="eastAsia" w:ascii="宋体" w:hAnsi="宋体" w:eastAsia="宋体" w:cs="宋体"/>
                <w:sz w:val="24"/>
                <w:szCs w:val="24"/>
                <w:vertAlign w:val="baseline"/>
              </w:rPr>
            </w:pPr>
          </w:p>
        </w:tc>
        <w:tc>
          <w:tcPr>
            <w:tcW w:w="2290" w:type="dxa"/>
            <w:noWrap w:val="0"/>
            <w:vAlign w:val="center"/>
          </w:tcPr>
          <w:p w14:paraId="3D0B81EB">
            <w:pPr>
              <w:jc w:val="center"/>
              <w:rPr>
                <w:rFonts w:hint="eastAsia" w:ascii="宋体" w:hAnsi="宋体" w:eastAsia="宋体" w:cs="宋体"/>
                <w:sz w:val="24"/>
                <w:szCs w:val="24"/>
                <w:vertAlign w:val="baseline"/>
              </w:rPr>
            </w:pPr>
          </w:p>
        </w:tc>
      </w:tr>
      <w:tr w14:paraId="4F1C6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01663FAB">
            <w:pPr>
              <w:jc w:val="center"/>
              <w:rPr>
                <w:rFonts w:hint="eastAsia" w:ascii="宋体" w:hAnsi="宋体" w:eastAsia="宋体" w:cs="宋体"/>
                <w:sz w:val="24"/>
                <w:szCs w:val="24"/>
                <w:vertAlign w:val="baseline"/>
              </w:rPr>
            </w:pPr>
            <w:r>
              <w:rPr>
                <w:rFonts w:ascii="宋体" w:hAnsi="宋体" w:eastAsia="宋体" w:cs="宋体"/>
                <w:sz w:val="24"/>
                <w:szCs w:val="24"/>
              </w:rPr>
              <w:t>问题反馈响应</w:t>
            </w:r>
          </w:p>
        </w:tc>
        <w:tc>
          <w:tcPr>
            <w:tcW w:w="753" w:type="dxa"/>
            <w:noWrap w:val="0"/>
            <w:vAlign w:val="center"/>
          </w:tcPr>
          <w:p w14:paraId="2FD9C099">
            <w:pPr>
              <w:jc w:val="center"/>
              <w:rPr>
                <w:rFonts w:hint="eastAsia"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5</w:t>
            </w:r>
          </w:p>
        </w:tc>
        <w:tc>
          <w:tcPr>
            <w:tcW w:w="3062" w:type="dxa"/>
            <w:noWrap w:val="0"/>
            <w:vAlign w:val="center"/>
          </w:tcPr>
          <w:p w14:paraId="4C57E644">
            <w:pPr>
              <w:jc w:val="center"/>
              <w:rPr>
                <w:rFonts w:hint="eastAsia" w:ascii="宋体" w:hAnsi="宋体" w:eastAsia="宋体" w:cs="宋体"/>
                <w:sz w:val="24"/>
                <w:szCs w:val="24"/>
                <w:vertAlign w:val="baseline"/>
              </w:rPr>
            </w:pPr>
            <w:r>
              <w:rPr>
                <w:rFonts w:ascii="宋体" w:hAnsi="宋体" w:eastAsia="宋体" w:cs="宋体"/>
                <w:sz w:val="24"/>
                <w:szCs w:val="24"/>
              </w:rPr>
              <w:t>当人员履职出现问题向服务商反馈后，服务商能够及时响应、处置。</w:t>
            </w:r>
          </w:p>
        </w:tc>
        <w:tc>
          <w:tcPr>
            <w:tcW w:w="713" w:type="dxa"/>
            <w:noWrap w:val="0"/>
            <w:vAlign w:val="center"/>
          </w:tcPr>
          <w:p w14:paraId="126A87EB">
            <w:pPr>
              <w:jc w:val="center"/>
              <w:rPr>
                <w:rFonts w:hint="eastAsia" w:ascii="宋体" w:hAnsi="宋体" w:eastAsia="宋体" w:cs="宋体"/>
                <w:sz w:val="24"/>
                <w:szCs w:val="24"/>
                <w:vertAlign w:val="baseline"/>
              </w:rPr>
            </w:pPr>
          </w:p>
        </w:tc>
        <w:tc>
          <w:tcPr>
            <w:tcW w:w="2290" w:type="dxa"/>
            <w:noWrap w:val="0"/>
            <w:vAlign w:val="center"/>
          </w:tcPr>
          <w:p w14:paraId="1E1A184E">
            <w:pPr>
              <w:jc w:val="center"/>
              <w:rPr>
                <w:rFonts w:hint="eastAsia" w:ascii="宋体" w:hAnsi="宋体" w:eastAsia="宋体" w:cs="宋体"/>
                <w:sz w:val="24"/>
                <w:szCs w:val="24"/>
                <w:vertAlign w:val="baseline"/>
              </w:rPr>
            </w:pPr>
          </w:p>
        </w:tc>
      </w:tr>
      <w:tr w14:paraId="59A82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704" w:type="dxa"/>
            <w:noWrap w:val="0"/>
            <w:vAlign w:val="center"/>
          </w:tcPr>
          <w:p w14:paraId="5FAC2E2D">
            <w:pPr>
              <w:jc w:val="center"/>
              <w:rPr>
                <w:rFonts w:hint="eastAsia"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合计得分</w:t>
            </w:r>
          </w:p>
        </w:tc>
        <w:tc>
          <w:tcPr>
            <w:tcW w:w="753" w:type="dxa"/>
            <w:noWrap w:val="0"/>
            <w:vAlign w:val="center"/>
          </w:tcPr>
          <w:p w14:paraId="578F85F8">
            <w:pPr>
              <w:jc w:val="center"/>
              <w:rPr>
                <w:rFonts w:hint="eastAsia" w:ascii="宋体" w:hAnsi="宋体" w:eastAsia="宋体" w:cs="宋体"/>
                <w:sz w:val="24"/>
                <w:szCs w:val="24"/>
                <w:vertAlign w:val="baseline"/>
              </w:rPr>
            </w:pPr>
          </w:p>
        </w:tc>
        <w:tc>
          <w:tcPr>
            <w:tcW w:w="3062" w:type="dxa"/>
            <w:noWrap w:val="0"/>
            <w:vAlign w:val="center"/>
          </w:tcPr>
          <w:p w14:paraId="7491AA2C">
            <w:pPr>
              <w:jc w:val="center"/>
              <w:rPr>
                <w:rFonts w:hint="eastAsia" w:ascii="宋体" w:hAnsi="宋体" w:eastAsia="宋体" w:cs="宋体"/>
                <w:sz w:val="24"/>
                <w:szCs w:val="24"/>
                <w:vertAlign w:val="baseline"/>
              </w:rPr>
            </w:pPr>
          </w:p>
        </w:tc>
        <w:tc>
          <w:tcPr>
            <w:tcW w:w="713" w:type="dxa"/>
            <w:noWrap w:val="0"/>
            <w:vAlign w:val="center"/>
          </w:tcPr>
          <w:p w14:paraId="1F8699E4">
            <w:pPr>
              <w:jc w:val="center"/>
              <w:rPr>
                <w:rFonts w:hint="eastAsia" w:ascii="宋体" w:hAnsi="宋体" w:eastAsia="宋体" w:cs="宋体"/>
                <w:sz w:val="24"/>
                <w:szCs w:val="24"/>
                <w:vertAlign w:val="baseline"/>
              </w:rPr>
            </w:pPr>
          </w:p>
        </w:tc>
        <w:tc>
          <w:tcPr>
            <w:tcW w:w="2290" w:type="dxa"/>
            <w:noWrap w:val="0"/>
            <w:vAlign w:val="center"/>
          </w:tcPr>
          <w:p w14:paraId="32DF5E1B">
            <w:pPr>
              <w:jc w:val="center"/>
              <w:rPr>
                <w:rFonts w:hint="eastAsia" w:ascii="宋体" w:hAnsi="宋体" w:eastAsia="宋体" w:cs="宋体"/>
                <w:sz w:val="24"/>
                <w:szCs w:val="24"/>
                <w:vertAlign w:val="baseline"/>
              </w:rPr>
            </w:pPr>
          </w:p>
        </w:tc>
      </w:tr>
    </w:tbl>
    <w:p w14:paraId="1EBDB1CD">
      <w:pPr>
        <w:jc w:val="left"/>
        <w:rPr>
          <w:rFonts w:hint="eastAsia" w:ascii="宋体" w:hAnsi="宋体" w:eastAsia="宋体" w:cs="宋体"/>
          <w:sz w:val="24"/>
          <w:szCs w:val="24"/>
        </w:rPr>
      </w:pPr>
    </w:p>
    <w:p w14:paraId="6F6AE7AF">
      <w:pPr>
        <w:jc w:val="left"/>
        <w:rPr>
          <w:rFonts w:hint="eastAsia" w:ascii="宋体" w:hAnsi="宋体" w:cs="宋体"/>
          <w:sz w:val="24"/>
          <w:szCs w:val="24"/>
          <w:lang w:val="en-US" w:eastAsia="zh-CN"/>
        </w:rPr>
      </w:pPr>
      <w:r>
        <w:rPr>
          <w:rFonts w:hint="eastAsia" w:ascii="宋体" w:hAnsi="宋体" w:cs="宋体"/>
          <w:sz w:val="24"/>
          <w:szCs w:val="24"/>
          <w:lang w:val="en-US" w:eastAsia="zh-CN"/>
        </w:rPr>
        <w:t>意见反馈栏：</w:t>
      </w:r>
    </w:p>
    <w:p w14:paraId="51FCFEAA">
      <w:pPr>
        <w:numPr>
          <w:ilvl w:val="0"/>
          <w:numId w:val="3"/>
        </w:numPr>
        <w:jc w:val="left"/>
        <w:rPr>
          <w:rFonts w:ascii="宋体" w:hAnsi="宋体" w:eastAsia="宋体" w:cs="宋体"/>
          <w:sz w:val="24"/>
          <w:szCs w:val="24"/>
        </w:rPr>
      </w:pPr>
      <w:r>
        <w:rPr>
          <w:rFonts w:ascii="宋体" w:hAnsi="宋体" w:eastAsia="宋体" w:cs="宋体"/>
          <w:sz w:val="24"/>
          <w:szCs w:val="24"/>
        </w:rPr>
        <w:t>本科室辅助服务现存主要问题：</w:t>
      </w:r>
    </w:p>
    <w:p w14:paraId="35F4CC5A">
      <w:pPr>
        <w:numPr>
          <w:ilvl w:val="0"/>
          <w:numId w:val="0"/>
        </w:numPr>
        <w:jc w:val="left"/>
        <w:rPr>
          <w:rFonts w:hint="eastAsia" w:ascii="宋体" w:hAnsi="宋体" w:cs="宋体"/>
          <w:sz w:val="24"/>
          <w:szCs w:val="24"/>
          <w:u w:val="single"/>
          <w:lang w:val="en-US" w:eastAsia="zh-CN"/>
        </w:rPr>
      </w:pPr>
      <w:r>
        <w:rPr>
          <w:rFonts w:hint="eastAsia" w:ascii="宋体" w:hAnsi="宋体" w:cs="宋体"/>
          <w:sz w:val="24"/>
          <w:szCs w:val="24"/>
          <w:u w:val="single"/>
          <w:lang w:val="en-US" w:eastAsia="zh-CN"/>
        </w:rPr>
        <w:t xml:space="preserve">                                                                     </w:t>
      </w:r>
    </w:p>
    <w:p w14:paraId="3441C50C">
      <w:pPr>
        <w:numPr>
          <w:ilvl w:val="0"/>
          <w:numId w:val="0"/>
        </w:numPr>
        <w:jc w:val="left"/>
        <w:rPr>
          <w:rFonts w:hint="eastAsia" w:ascii="宋体" w:hAnsi="宋体" w:cs="宋体"/>
          <w:sz w:val="24"/>
          <w:szCs w:val="24"/>
          <w:u w:val="single"/>
          <w:lang w:val="en-US" w:eastAsia="zh-CN"/>
        </w:rPr>
      </w:pPr>
      <w:r>
        <w:rPr>
          <w:rFonts w:hint="eastAsia" w:ascii="宋体" w:hAnsi="宋体" w:cs="宋体"/>
          <w:sz w:val="24"/>
          <w:szCs w:val="24"/>
          <w:u w:val="single"/>
          <w:lang w:val="en-US" w:eastAsia="zh-CN"/>
        </w:rPr>
        <w:t xml:space="preserve">                                                                     </w:t>
      </w:r>
    </w:p>
    <w:p w14:paraId="15DB4B2A">
      <w:pPr>
        <w:numPr>
          <w:ilvl w:val="0"/>
          <w:numId w:val="3"/>
        </w:numPr>
        <w:jc w:val="left"/>
        <w:rPr>
          <w:rFonts w:hint="default" w:ascii="宋体" w:hAnsi="宋体" w:eastAsia="宋体" w:cs="宋体"/>
          <w:sz w:val="24"/>
          <w:szCs w:val="24"/>
          <w:lang w:val="en-US" w:eastAsia="zh-CN"/>
        </w:rPr>
      </w:pPr>
      <w:r>
        <w:rPr>
          <w:rFonts w:ascii="宋体" w:hAnsi="宋体" w:eastAsia="宋体" w:cs="宋体"/>
          <w:sz w:val="24"/>
          <w:szCs w:val="24"/>
        </w:rPr>
        <w:t>对服务商、医院管理的改进建议：</w:t>
      </w:r>
    </w:p>
    <w:p w14:paraId="5A6B3599">
      <w:pPr>
        <w:numPr>
          <w:ilvl w:val="0"/>
          <w:numId w:val="0"/>
        </w:numPr>
        <w:jc w:val="left"/>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 xml:space="preserve">                                                                     </w:t>
      </w:r>
    </w:p>
    <w:p w14:paraId="65520314">
      <w:pPr>
        <w:numPr>
          <w:ilvl w:val="0"/>
          <w:numId w:val="0"/>
        </w:numPr>
        <w:jc w:val="left"/>
        <w:rPr>
          <w:color w:val="000000"/>
          <w:sz w:val="24"/>
          <w:szCs w:val="24"/>
        </w:rPr>
      </w:pPr>
      <w:r>
        <w:rPr>
          <w:rFonts w:hint="eastAsia" w:ascii="宋体" w:hAnsi="宋体" w:eastAsia="宋体" w:cs="宋体"/>
          <w:sz w:val="24"/>
          <w:szCs w:val="24"/>
          <w:u w:val="single"/>
          <w:lang w:val="en-US" w:eastAsia="zh-CN"/>
        </w:rPr>
        <w:t xml:space="preserve">                                                                    </w:t>
      </w:r>
      <w:r>
        <w:rPr>
          <w:rFonts w:hint="eastAsia" w:ascii="宋体" w:hAnsi="宋体" w:eastAsia="宋体" w:cs="宋体"/>
          <w:color w:val="000000"/>
          <w:kern w:val="0"/>
          <w:sz w:val="24"/>
          <w:szCs w:val="24"/>
          <w:lang w:val="en-US" w:eastAsia="zh-CN" w:bidi="ar"/>
        </w:rPr>
        <w:t>备注：</w:t>
      </w:r>
      <w:r>
        <w:rPr>
          <w:rFonts w:hint="eastAsia" w:ascii="宋体" w:hAnsi="宋体" w:cs="宋体"/>
          <w:color w:val="000000"/>
          <w:kern w:val="0"/>
          <w:sz w:val="24"/>
          <w:szCs w:val="24"/>
          <w:lang w:val="en-US" w:eastAsia="zh-CN" w:bidi="ar"/>
        </w:rPr>
        <w:t>1.</w:t>
      </w:r>
      <w:r>
        <w:rPr>
          <w:color w:val="000000"/>
          <w:sz w:val="24"/>
          <w:szCs w:val="24"/>
        </w:rPr>
        <w:t>填报完成后，与本科室《辅助服务派驻岗位人员月度绩效考核表》一并，每月月末报送医院项目管理小组；</w:t>
      </w:r>
    </w:p>
    <w:p w14:paraId="57E10AFA">
      <w:pPr>
        <w:numPr>
          <w:ilvl w:val="0"/>
          <w:numId w:val="0"/>
        </w:numPr>
        <w:ind w:firstLine="720" w:firstLineChars="300"/>
        <w:jc w:val="left"/>
        <w:rPr>
          <w:rFonts w:hint="eastAsia" w:ascii="宋体" w:hAnsi="宋体" w:eastAsia="宋体" w:cs="宋体"/>
          <w:sz w:val="24"/>
          <w:szCs w:val="24"/>
          <w:u w:val="single"/>
          <w:lang w:val="en-US" w:eastAsia="zh-CN"/>
        </w:rPr>
      </w:pPr>
      <w:r>
        <w:rPr>
          <w:rFonts w:hint="eastAsia"/>
          <w:color w:val="000000"/>
          <w:sz w:val="24"/>
          <w:szCs w:val="24"/>
          <w:lang w:val="en-US" w:eastAsia="zh-CN"/>
        </w:rPr>
        <w:t>2.</w:t>
      </w:r>
      <w:r>
        <w:rPr>
          <w:color w:val="000000"/>
          <w:sz w:val="24"/>
          <w:szCs w:val="24"/>
        </w:rPr>
        <w:t>医院收集全院各科室满意度调查表，计算平均分，折算计入</w:t>
      </w:r>
      <w:r>
        <w:rPr>
          <w:rFonts w:hint="eastAsia"/>
          <w:color w:val="000000"/>
          <w:sz w:val="24"/>
          <w:szCs w:val="24"/>
          <w:lang w:eastAsia="zh-CN"/>
        </w:rPr>
        <w:t>服务商</w:t>
      </w:r>
      <w:r>
        <w:rPr>
          <w:color w:val="000000"/>
          <w:sz w:val="24"/>
          <w:szCs w:val="24"/>
        </w:rPr>
        <w:t>月度考核 “服务质量及满意度（</w:t>
      </w:r>
      <w:r>
        <w:rPr>
          <w:rFonts w:hint="eastAsia"/>
          <w:color w:val="000000"/>
          <w:sz w:val="24"/>
          <w:szCs w:val="24"/>
          <w:lang w:val="en-US" w:eastAsia="zh-CN"/>
        </w:rPr>
        <w:t>20</w:t>
      </w:r>
      <w:r>
        <w:rPr>
          <w:color w:val="000000"/>
          <w:sz w:val="24"/>
          <w:szCs w:val="24"/>
        </w:rPr>
        <w:t>分）” 项</w:t>
      </w:r>
      <w:r>
        <w:rPr>
          <w:rFonts w:hint="eastAsia"/>
          <w:color w:val="000000"/>
          <w:sz w:val="24"/>
          <w:szCs w:val="24"/>
          <w:lang w:eastAsia="zh-CN"/>
        </w:rPr>
        <w:t>。</w:t>
      </w:r>
    </w:p>
    <w:p w14:paraId="5825018F">
      <w:pPr>
        <w:pStyle w:val="6"/>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仿宋_GB2312" w:hAnsi="仿宋_GB2312" w:eastAsia="仿宋_GB2312" w:cs="仿宋_GB2312"/>
          <w:sz w:val="32"/>
          <w:szCs w:val="32"/>
          <w:highlight w:val="none"/>
          <w:lang w:val="en-US" w:eastAsia="zh-CN" w:bidi="ar-SA"/>
        </w:rPr>
      </w:pPr>
    </w:p>
    <w:p w14:paraId="181AB747">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DCA9D41D-03EB-4237-8B5A-4460878C7364}"/>
  </w:font>
  <w:font w:name="方正小标宋_GBK">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仿宋_GB2312">
    <w:panose1 w:val="02010609030101010101"/>
    <w:charset w:val="86"/>
    <w:family w:val="auto"/>
    <w:pitch w:val="default"/>
    <w:sig w:usb0="00000001" w:usb1="080E0000" w:usb2="00000000" w:usb3="00000000" w:csb0="00040000" w:csb1="00000000"/>
    <w:embedRegular r:id="rId2" w:fontKey="{AAC4C785-D713-4127-8BFF-3E780938EE4D}"/>
  </w:font>
  <w:font w:name="方正小标宋简体">
    <w:panose1 w:val="02000000000000000000"/>
    <w:charset w:val="86"/>
    <w:family w:val="auto"/>
    <w:pitch w:val="default"/>
    <w:sig w:usb0="00000001" w:usb1="08000000" w:usb2="00000000" w:usb3="00000000" w:csb0="00040000" w:csb1="00000000"/>
    <w:embedRegular r:id="rId3" w:fontKey="{B3F63F0F-081E-453A-B99F-CE102753A21C}"/>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2B4457"/>
    <w:multiLevelType w:val="singleLevel"/>
    <w:tmpl w:val="842B4457"/>
    <w:lvl w:ilvl="0" w:tentative="0">
      <w:start w:val="8"/>
      <w:numFmt w:val="decimal"/>
      <w:suff w:val="nothing"/>
      <w:lvlText w:val="（%1）"/>
      <w:lvlJc w:val="left"/>
    </w:lvl>
  </w:abstractNum>
  <w:abstractNum w:abstractNumId="1">
    <w:nsid w:val="9FAD2A4A"/>
    <w:multiLevelType w:val="singleLevel"/>
    <w:tmpl w:val="9FAD2A4A"/>
    <w:lvl w:ilvl="0" w:tentative="0">
      <w:start w:val="1"/>
      <w:numFmt w:val="decimal"/>
      <w:lvlText w:val="%1."/>
      <w:lvlJc w:val="left"/>
      <w:pPr>
        <w:tabs>
          <w:tab w:val="left" w:pos="312"/>
        </w:tabs>
      </w:pPr>
    </w:lvl>
  </w:abstractNum>
  <w:abstractNum w:abstractNumId="2">
    <w:nsid w:val="BAB909D8"/>
    <w:multiLevelType w:val="singleLevel"/>
    <w:tmpl w:val="BAB909D8"/>
    <w:lvl w:ilvl="0" w:tentative="0">
      <w:start w:val="10"/>
      <w:numFmt w:val="decimal"/>
      <w:suff w:val="space"/>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79575E"/>
    <w:rsid w:val="0DB70A4E"/>
    <w:rsid w:val="0EAC525A"/>
    <w:rsid w:val="11121CAD"/>
    <w:rsid w:val="1C550706"/>
    <w:rsid w:val="22DC651F"/>
    <w:rsid w:val="2E831FFF"/>
    <w:rsid w:val="31D02A3D"/>
    <w:rsid w:val="3C060C95"/>
    <w:rsid w:val="4191520C"/>
    <w:rsid w:val="45ED7727"/>
    <w:rsid w:val="4AEC6208"/>
    <w:rsid w:val="57C3279C"/>
    <w:rsid w:val="65EE0442"/>
    <w:rsid w:val="74305BF6"/>
    <w:rsid w:val="783923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jc w:val="center"/>
      <w:outlineLvl w:val="0"/>
    </w:pPr>
    <w:rPr>
      <w:rFonts w:eastAsia="方正小标宋_GBK" w:asciiTheme="minorAscii" w:hAnsiTheme="minorAscii"/>
      <w:kern w:val="44"/>
      <w:sz w:val="44"/>
    </w:rPr>
  </w:style>
  <w:style w:type="paragraph" w:styleId="3">
    <w:name w:val="heading 2"/>
    <w:basedOn w:val="1"/>
    <w:next w:val="1"/>
    <w:link w:val="11"/>
    <w:semiHidden/>
    <w:unhideWhenUsed/>
    <w:qFormat/>
    <w:uiPriority w:val="0"/>
    <w:pPr>
      <w:keepNext/>
      <w:keepLines/>
      <w:spacing w:line="560" w:lineRule="exact"/>
      <w:ind w:firstLine="200" w:firstLineChars="200"/>
      <w:outlineLvl w:val="1"/>
    </w:pPr>
    <w:rPr>
      <w:rFonts w:ascii="Arial" w:hAnsi="Arial" w:eastAsia="黑体"/>
      <w:szCs w:val="22"/>
    </w:rPr>
  </w:style>
  <w:style w:type="paragraph" w:styleId="4">
    <w:name w:val="heading 3"/>
    <w:basedOn w:val="1"/>
    <w:next w:val="1"/>
    <w:semiHidden/>
    <w:unhideWhenUsed/>
    <w:qFormat/>
    <w:uiPriority w:val="0"/>
    <w:pPr>
      <w:keepNext/>
      <w:keepLines/>
      <w:spacing w:before="20" w:beforeLines="0" w:beforeAutospacing="0" w:after="20" w:afterLines="0" w:afterAutospacing="0" w:line="560" w:lineRule="exact"/>
      <w:outlineLvl w:val="2"/>
    </w:pPr>
    <w:rPr>
      <w:rFonts w:eastAsia="楷体"/>
      <w:b/>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rPr>
      <w:rFonts w:ascii="Times New Roman" w:hAnsi="Times New Roman" w:eastAsia="宋体" w:cs="Times New Roman"/>
      <w:sz w:val="32"/>
    </w:rPr>
  </w:style>
  <w:style w:type="paragraph" w:styleId="6">
    <w:name w:val="Body Text"/>
    <w:basedOn w:val="1"/>
    <w:link w:val="12"/>
    <w:qFormat/>
    <w:uiPriority w:val="0"/>
    <w:rPr>
      <w:rFonts w:eastAsia="方正仿宋_GB2312"/>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customStyle="1" w:styleId="11">
    <w:name w:val=" Char Char12"/>
    <w:link w:val="3"/>
    <w:qFormat/>
    <w:uiPriority w:val="0"/>
    <w:rPr>
      <w:rFonts w:ascii="Arial" w:hAnsi="Arial" w:eastAsia="黑体"/>
      <w:kern w:val="2"/>
      <w:sz w:val="32"/>
      <w:szCs w:val="22"/>
      <w:lang w:val="en-US" w:eastAsia="zh-CN" w:bidi="ar-SA"/>
    </w:rPr>
  </w:style>
  <w:style w:type="character" w:customStyle="1" w:styleId="12">
    <w:name w:val=" Char Char10"/>
    <w:link w:val="6"/>
    <w:qFormat/>
    <w:uiPriority w:val="0"/>
    <w:rPr>
      <w:rFonts w:eastAsia="方正仿宋_GB2312"/>
      <w:kern w:val="2"/>
      <w:sz w:val="32"/>
      <w:szCs w:val="24"/>
      <w:lang w:val="en-US" w:eastAsia="zh-CN" w:bidi="ar-SA"/>
    </w:rPr>
  </w:style>
  <w:style w:type="paragraph" w:customStyle="1" w:styleId="13">
    <w:name w:val="null3"/>
    <w:hidden/>
    <w:qFormat/>
    <w:uiPriority w:val="0"/>
    <w:rPr>
      <w:rFonts w:hint="eastAsia" w:asciiTheme="minorHAnsi" w:hAnsiTheme="minorHAnsi" w:eastAsiaTheme="minorEastAsia" w:cstheme="minorBidi"/>
      <w:kern w:val="0"/>
      <w:sz w:val="20"/>
      <w:szCs w:val="20"/>
      <w:lang w:val="en-US" w:eastAsia="zh-Han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0a57fbee-0fa8-4a65-a5a4-55b551d321b4</errorID>
      <errorWord>需具备</errorWord>
      <group>L1_Word</group>
      <groupName>字词问题</groupName>
      <ability>L2_Typo</ability>
      <abilityName>字词错误</abilityName>
      <candidateList>
        <item>须具备</item>
      </candidateList>
      <explain/>
      <paraID>137959CA</paraID>
      <start>9</start>
      <end>12</end>
      <status>modified</status>
      <modifiedWord>须具备</modifiedWord>
      <trackRevisions>false</trackRevisions>
    </reviewItem>
    <reviewItem>
      <errorID>3231eb82-cb10-4d66-b105-6426984084f8</errorID>
      <errorWord>作好</errorWord>
      <group>L1_Grammar</group>
      <groupName>语法问题</groupName>
      <ability>L2_Grammar</ability>
      <abilityName>语法错误</abilityName>
      <candidateList>
        <item>做好</item>
      </candidateList>
      <explain>“作好～疏导”搭配不当，建议修改为“做好～疏导”。</explain>
      <paraID>129A031E</paraID>
      <start>21</start>
      <end>23</end>
      <status>modified</status>
      <modifiedWord>做好</modifiedWord>
      <trackRevisions>false</trackRevisions>
    </reviewItem>
    <reviewItem>
      <errorID>d6d56a09-70f0-474d-9c26-c865236a63e9</errorID>
      <errorWord>，</errorWord>
      <group>L1_Word</group>
      <groupName>字词问题</groupName>
      <ability>L2_Typo</ability>
      <abilityName>字词错误</abilityName>
      <candidateList>
        <item>，具</item>
      </candidateList>
      <explain/>
      <paraID>6BB67223</paraID>
      <start>8</start>
      <end>10</end>
      <status>modified</status>
      <modifiedWord>，具</modifiedWord>
      <trackRevisions>false</trackRevisions>
    </reviewItem>
    <reviewItem>
      <errorID>8d473aa4-4299-4a60-8306-af92f7390d94</errorID>
      <errorWord>要有</errorWord>
      <group>L1_Word</group>
      <groupName>字词问题</groupName>
      <ability>L2_Typo</ability>
      <abilityName>字词错误</abilityName>
      <candidateList>
        <item>要</item>
      </candidateList>
      <explain/>
      <paraID>6A9CFC0A</paraID>
      <start>49</start>
      <end>50</end>
      <status>modified</status>
      <modifiedWord>要</modifiedWord>
      <trackRevisions>false</trackRevisions>
    </reviewItem>
    <reviewItem>
      <errorID>648f77ec-9a25-4817-a5ff-2fbd243ccac3</errorID>
      <errorWord>,</errorWord>
      <group>L1_Format</group>
      <groupName>格式问题</groupName>
      <ability>L2_HalfPunc_CN</ability>
      <abilityName>全半角检查</abilityName>
      <candidateList>
        <item>，</item>
      </candidateList>
      <explain>文本全半角错误。</explain>
      <paraID>6C31799F</paraID>
      <start>189</start>
      <end>190</end>
      <status>modified</status>
      <modifiedWord>，</modifiedWord>
      <trackRevisions>false</trackRevisions>
    </reviewItem>
    <reviewItem>
      <errorID>e885c1e4-6e26-4d80-a420-535ad570635b</errorID>
      <errorWord>员</errorWord>
      <group>L1_Word</group>
      <groupName>字词问题</groupName>
      <ability>L2_Typo</ability>
      <abilityName>字词错误</abilityName>
      <candidateList>
        <item>员在</item>
      </candidateList>
      <explain/>
      <paraID>6C31799F</paraID>
      <start>232</start>
      <end>234</end>
      <status>modified</status>
      <modifiedWord>员在</modifiedWord>
      <trackRevisions>false</trackRevisions>
    </reviewItem>
    <reviewItem>
      <errorID>4d64a36e-5c1a-4327-ab42-f505c1863f08</errorID>
      <errorWord>应</errorWord>
      <group>L1_Word</group>
      <groupName>字词问题</groupName>
      <ability>L2_Typo</ability>
      <abilityName>字词错误</abilityName>
      <candidateList>
        <item>应在</item>
      </candidateList>
      <explain/>
      <paraID>4E9C9147</paraID>
      <start>85</start>
      <end>87</end>
      <status>modified</status>
      <modifiedWord>应在</modifiedWord>
      <trackRevisions>false</trackRevisions>
    </reviewItem>
    <reviewItem>
      <errorID>ea594ca5-d5c0-4414-90d8-dd1f58df7a4d</errorID>
      <errorWord>必须的</errorWord>
      <group>L1_Word</group>
      <groupName>字词问题</groupName>
      <ability>L2_Alias</ability>
      <abilityName>也作/曾用词</abilityName>
      <candidateList>
        <item>必需的</item>
      </candidateList>
      <explain>词汇[必须的]为不规范表述或旧称，其规范书面表述为[必需的]。</explain>
      <paraID>614E897E</paraID>
      <start>31</start>
      <end>34</end>
      <status>modified</status>
      <modifiedWord>必需的</modifiedWord>
      <trackRevisions>false</trackRevisions>
    </reviewItem>
    <reviewItem>
      <errorID>109fd4d6-6425-4c7f-917c-e7d0381bab62</errorID>
      <errorWord>果</errorWord>
      <group>L1_Word</group>
      <groupName>字词问题</groupName>
      <ability>L2_Typo</ability>
      <abilityName>字词错误</abilityName>
      <candidateList>
        <item>果后</item>
      </candidateList>
      <explain/>
      <paraID> 2A05267</paraID>
      <start>23</start>
      <end>25</end>
      <status>modified</status>
      <modifiedWord>果后</modifiedWord>
      <trackRevisions>false</trackRevisions>
    </reviewItem>
    <reviewItem>
      <errorID>74ca0d4a-8ff2-423e-aee6-594ac4af82a4</errorID>
      <errorWord>束</errorWord>
      <group>L1_Word</group>
      <groupName>字词问题</groupName>
      <ability>L2_Typo</ability>
      <abilityName>字词错误</abilityName>
      <candidateList>
        <item>束后</item>
      </candidateList>
      <explain/>
      <paraID>2327AC4E</paraID>
      <start>6</start>
      <end>8</end>
      <status>modified</status>
      <modifiedWord>束后</modifiedWord>
      <trackRevisions>false</trackRevisions>
    </reviewItem>
    <reviewItem>
      <errorID>dc8a2057-decc-4e45-a3ad-58f56d87815e</errorID>
      <errorWord>(</errorWord>
      <group>L1_Format</group>
      <groupName>格式问题</groupName>
      <ability>L2_HalfPunc_CN</ability>
      <abilityName>全半角检查</abilityName>
      <candidateList>
        <item>（</item>
      </candidateList>
      <explain>文本全半角错误。</explain>
      <paraID>7298193D</paraID>
      <start>48</start>
      <end>49</end>
      <status>modified</status>
      <modifiedWord>（</modifiedWord>
      <trackRevisions>false</trackRevisions>
    </reviewItem>
    <reviewItem>
      <errorID>6a2e8a5d-17e5-4fc5-9afa-d2e02f0c6d71</errorID>
      <errorWord>按照按</errorWord>
      <group>L1_Word</group>
      <groupName>字词问题</groupName>
      <ability>L2_Typo</ability>
      <abilityName>字词错误</abilityName>
      <candidateList>
        <item>按照</item>
      </candidateList>
      <explain/>
      <paraID>7298193D</paraID>
      <start>49</start>
      <end>51</end>
      <status>modified</status>
      <modifiedWord>按照</modifiedWord>
      <trackRevisions>false</trackRevisions>
    </reviewItem>
    <reviewItem>
      <errorID>b14dcbc9-6d3d-4931-ae3f-8001e724298f</errorID>
      <errorWord>)</errorWord>
      <group>L1_Format</group>
      <groupName>格式问题</groupName>
      <ability>L2_HalfPunc_CN</ability>
      <abilityName>全半角检查</abilityName>
      <candidateList>
        <item>）</item>
      </candidateList>
      <explain>文本全半角错误。</explain>
      <paraID>7298193D</paraID>
      <start>63</start>
      <end>64</end>
      <status>modified</status>
      <modifiedWord>）</modifiedWord>
      <trackRevisions>false</trackRevisions>
    </reviewItem>
    <reviewItem>
      <errorID>e7ffc5e2-34fe-482d-b5e4-8212027eeffb</errorID>
      <errorWord>(</errorWord>
      <group>L1_Format</group>
      <groupName>格式问题</groupName>
      <ability>L2_HalfPunc_CN</ability>
      <abilityName>全半角检查</abilityName>
      <candidateList>
        <item>（</item>
      </candidateList>
      <explain>文本全半角错误。</explain>
      <paraID>6CA16172</paraID>
      <start>18</start>
      <end>19</end>
      <status>modified</status>
      <modifiedWord>（</modifiedWord>
      <trackRevisions>false</trackRevisions>
    </reviewItem>
    <reviewItem>
      <errorID>eb8c036f-c9f1-4126-82a5-c3e5caf77c26</errorID>
      <errorWord>)</errorWord>
      <group>L1_Format</group>
      <groupName>格式问题</groupName>
      <ability>L2_HalfPunc_CN</ability>
      <abilityName>全半角检查</abilityName>
      <candidateList>
        <item>）</item>
      </candidateList>
      <explain>文本全半角错误。</explain>
      <paraID>6CA16172</paraID>
      <start>64</start>
      <end>65</end>
      <status>modified</status>
      <modifiedWord>）</modifiedWord>
      <trackRevisions>false</trackRevisions>
    </reviewItem>
    <reviewItem>
      <errorID>7f999fd8-cfa1-4d2b-a292-0765f01114a3</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AC71EFC</paraID>
      <start>38</start>
      <end>39</end>
      <status>modified</status>
      <modifiedWord>—</modifiedWord>
      <trackRevisions>false</trackRevisions>
    </reviewItem>
    <reviewItem>
      <errorID>191cbc2a-fd2a-419e-949b-e21e5686f5d4</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6174D862</paraID>
      <start>45</start>
      <end>46</end>
      <status>modified</status>
      <modifiedWord>—</modifiedWord>
      <trackRevisions>false</trackRevisions>
    </reviewItem>
    <reviewItem>
      <errorID>6b6c227d-94e4-482d-91a4-d387e1904f65</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3836CC69</paraID>
      <start>41</start>
      <end>42</end>
      <status>modified</status>
      <modifiedWord>—</modifiedWord>
      <trackRevisions>false</trackRevisions>
    </reviewItem>
    <reviewItem>
      <errorID>3040213d-28d5-46ce-9e99-4ae21908dc7b</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449518E2</paraID>
      <start>24</start>
      <end>25</end>
      <status>modified</status>
      <modifiedWord>—</modifiedWord>
      <trackRevisions>false</trackRevisions>
    </reviewItem>
    <reviewItem>
      <errorID>eded1ff5-8dbd-440c-a28b-4e84032af0c3</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35B99190</paraID>
      <start>2</start>
      <end>3</end>
      <status>modified</status>
      <modifiedWord>—</modifiedWord>
      <trackRevisions>false</trackRevisions>
    </reviewItem>
    <reviewItem>
      <errorID>f0b58ee1-f757-44d3-b8e8-646c9beebb9b</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1A114883</paraID>
      <start>2</start>
      <end>3</end>
      <status>modified</status>
      <modifiedWord>—</modifiedWord>
      <trackRevisions>false</trackRevisions>
    </reviewItem>
    <reviewItem>
      <errorID>8de8b050-2455-4ef4-9835-5be7ea73c8d9</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5A8D0984</paraID>
      <start>2</start>
      <end>3</end>
      <status>modified</status>
      <modifiedWord>—</modifiedWord>
      <trackRevisions>false</trackRevisions>
    </reviewItem>
    <reviewItem>
      <errorID>5c77d7df-9301-4f82-ba0c-1ddd7116b858</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77FD4B88</paraID>
      <start>38</start>
      <end>39</end>
      <status>modified</status>
      <modifiedWord>—</modifiedWord>
      <trackRevisions>false</trackRevisions>
    </reviewItem>
    <reviewItem>
      <errorID>dc381926-5968-44f8-89d4-8344677af79c</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56A11115</paraID>
      <start>31</start>
      <end>32</end>
      <status>modified</status>
      <modifiedWord>—</modifiedWord>
      <trackRevisions>false</trackRevisions>
    </reviewItem>
    <reviewItem>
      <errorID>0dd19b18-be63-4e31-bc4d-5196e5f85093</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567BDDE9</paraID>
      <start>31</start>
      <end>32</end>
      <status>modified</status>
      <modifiedWord>—</modifiedWord>
      <trackRevisions>false</trackRevisions>
    </reviewItem>
    <reviewItem>
      <errorID>d3047754-7389-4030-9d5c-d00f08706ad8</errorID>
      <errorWord>＜</errorWord>
      <group>L1_Format</group>
      <groupName>格式问题</groupName>
      <ability>L2_HalfPunc_CN</ability>
      <abilityName>全半角检查</abilityName>
      <candidateList>
        <item>&lt;</item>
      </candidateList>
      <explain>文本全半角错误。</explain>
      <paraID>1AF38D99</paraID>
      <start>0</start>
      <end>1</end>
      <status>modified</status>
      <modifiedWord>&lt;</modifiedWord>
      <trackRevisions>false</trackRevisions>
    </reviewItem>
  </reviewItems>
  <config/>
</contractReview>
</file>

<file path=customXml/itemProps1.xml><?xml version="1.0" encoding="utf-8"?>
<ds:datastoreItem xmlns:ds="http://schemas.openxmlformats.org/officeDocument/2006/customXml" ds:itemID="{aecd7bc4-843e-440d-9f26-0fa38e3cb6dd}">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10150</Words>
  <Characters>10435</Characters>
  <Lines>0</Lines>
  <Paragraphs>0</Paragraphs>
  <TotalTime>3</TotalTime>
  <ScaleCrop>false</ScaleCrop>
  <LinksUpToDate>false</LinksUpToDate>
  <CharactersWithSpaces>10440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2023-11-21T07:46:00Z</dcterms:created>
  <dc:creator>iun</dc:creator>
  <cp:lastModifiedBy>蒋丽萍</cp:lastModifiedBy>
  <dcterms:modified xsi:type="dcterms:W3CDTF">2026-09-18T09:17:20Z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ED3DF7A9101A4B3EA2B0080BF9AC3ABB_12</vt:lpwstr>
  </property>
  <property fmtid="{D5CDD505-2E9C-101B-9397-08002B2CF9AE}" pid="4" name="KSOTemplateDocerSaveRecord">
    <vt:lpwstr>eyJoZGlkIjoiYWYxMjBhYjU3Zjk4MjMzMDBiZGJjMDk5MDQ3NWE2MTYiLCJ1c2VySWQiOiIyODc0NTkxMjAifQ==</vt:lpwstr>
  </property>
</Properties>
</file>