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7A4FC">
      <w:pPr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</w:t>
      </w:r>
      <w:r>
        <w:rPr>
          <w:rFonts w:ascii="黑体" w:hAnsi="宋体" w:eastAsia="黑体" w:cs="黑体"/>
          <w:color w:val="000000"/>
          <w:sz w:val="32"/>
          <w:szCs w:val="32"/>
        </w:rPr>
        <w:t>1</w:t>
      </w:r>
    </w:p>
    <w:p w14:paraId="66F582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26" w:afterLines="100" w:line="400" w:lineRule="exact"/>
        <w:ind w:firstLine="727" w:firstLineChars="202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成都市新津区人民医院</w:t>
      </w:r>
    </w:p>
    <w:p w14:paraId="4E77E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26" w:afterLines="100" w:line="400" w:lineRule="exact"/>
        <w:ind w:firstLine="646" w:firstLineChars="202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“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临时采购检验和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病理部分项目服务外包”调研要求</w:t>
      </w:r>
    </w:p>
    <w:p w14:paraId="4360232F">
      <w:pPr>
        <w:spacing w:line="4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一、资质要求</w:t>
      </w:r>
    </w:p>
    <w:p w14:paraId="0817DBF2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（一）第三方病理机构须为具有独立法人资格的临床（医学）检验机构或商业医学实验室，具备有效的医疗机构执业许可证，且诊疗科目中包含病理科。</w:t>
      </w:r>
    </w:p>
    <w:p w14:paraId="2A92C50C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（二）拥有完善的质量管理体系，通过相关认证（如ISO 15189、CAP等）。</w:t>
      </w:r>
    </w:p>
    <w:p w14:paraId="1C0D9E14">
      <w:pPr>
        <w:spacing w:line="4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二、服务要求及内容</w:t>
      </w:r>
    </w:p>
    <w:p w14:paraId="3EA0371E">
      <w:pPr>
        <w:spacing w:line="52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（一）报价要求</w:t>
      </w:r>
    </w:p>
    <w:p w14:paraId="7D41E8A9">
      <w:pPr>
        <w:spacing w:line="52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sz w:val="32"/>
          <w:szCs w:val="32"/>
        </w:rPr>
        <w:t>检测项目及报告时限要求</w:t>
      </w:r>
    </w:p>
    <w:tbl>
      <w:tblPr>
        <w:tblStyle w:val="8"/>
        <w:tblW w:w="497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112"/>
        <w:gridCol w:w="4756"/>
      </w:tblGrid>
      <w:tr w14:paraId="47BF6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E3F95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  <w:t>序号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E10C0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  <w:t>检测项目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623F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报告时限要求</w:t>
            </w:r>
          </w:p>
        </w:tc>
      </w:tr>
      <w:tr w14:paraId="17B24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611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03D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术中快速冰冻切片检查与诊断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D32E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  <w:lang w:bidi="ar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分钟</w:t>
            </w:r>
          </w:p>
        </w:tc>
      </w:tr>
      <w:tr w14:paraId="4BFA8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23FC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B18B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疑难病理诊断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4F71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3个工作日</w:t>
            </w:r>
          </w:p>
        </w:tc>
      </w:tr>
      <w:tr w14:paraId="11F8F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084B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  <w:lang w:bidi="ar"/>
              </w:rPr>
              <w:t>3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7CD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免疫组织化学染色检查与诊断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30A5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个工作日</w:t>
            </w:r>
          </w:p>
        </w:tc>
      </w:tr>
      <w:tr w14:paraId="29465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003F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  <w:lang w:bidi="ar"/>
              </w:rPr>
              <w:t>4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D9F7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特殊染色及酶组织化学染色</w:t>
            </w:r>
          </w:p>
          <w:p w14:paraId="08A0309D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诊断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8675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  <w:lang w:bidi="ar"/>
              </w:rPr>
              <w:t>5个工作日</w:t>
            </w:r>
          </w:p>
        </w:tc>
      </w:tr>
      <w:tr w14:paraId="3C493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59BC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  <w:lang w:bidi="ar"/>
              </w:rPr>
              <w:t>5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12CAE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肾脏穿刺组织活检检查与诊断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A3C1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  <w:lang w:bidi="ar"/>
              </w:rPr>
              <w:t>5个工作日</w:t>
            </w:r>
          </w:p>
        </w:tc>
      </w:tr>
      <w:tr w14:paraId="3C4B2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A4D7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6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DBA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TB-DNA检测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0E7A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3个工作日</w:t>
            </w:r>
          </w:p>
        </w:tc>
      </w:tr>
      <w:tr w14:paraId="411C3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9E32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7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057B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丙型肝炎RNA测定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DE7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3个工作日</w:t>
            </w:r>
          </w:p>
        </w:tc>
      </w:tr>
      <w:tr w14:paraId="5A1FC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3E67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8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AD0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甲型肝炎抗体测定(IgM)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34D2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3个工作日</w:t>
            </w:r>
          </w:p>
        </w:tc>
      </w:tr>
      <w:tr w14:paraId="4A4DD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86FD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9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46DE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戊型肝炎抗体测定(Anti-HEV)(IgM)</w:t>
            </w:r>
          </w:p>
        </w:tc>
        <w:tc>
          <w:tcPr>
            <w:tcW w:w="2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6866C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3个工作日</w:t>
            </w:r>
          </w:p>
        </w:tc>
      </w:tr>
    </w:tbl>
    <w:p w14:paraId="5C98BCBD">
      <w:pPr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注：以上检测项目基于医院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临时采购检验和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病理部分项目服务外包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需求，所包含的具体收费项见附件2</w:t>
      </w:r>
    </w:p>
    <w:p w14:paraId="2679F339">
      <w:pPr>
        <w:spacing w:line="52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sz w:val="32"/>
          <w:szCs w:val="32"/>
        </w:rPr>
        <w:t>人员配备与管理</w:t>
      </w:r>
    </w:p>
    <w:p w14:paraId="28417ED0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按照国家、行业相关技术标准，结合项目建设特点，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  <w:sz w:val="32"/>
          <w:szCs w:val="32"/>
        </w:rPr>
        <w:t>为病理科配备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</w:t>
      </w:r>
      <w:r>
        <w:rPr>
          <w:rFonts w:hint="eastAsia" w:ascii="仿宋_GB2312" w:hAnsi="仿宋_GB2312" w:eastAsia="仿宋_GB2312" w:cs="仿宋_GB2312"/>
          <w:sz w:val="32"/>
          <w:szCs w:val="32"/>
        </w:rPr>
        <w:t>病理诊断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高级职称医师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，确保满足病理科日常工作需求。</w:t>
      </w:r>
    </w:p>
    <w:p w14:paraId="21B7548A">
      <w:pPr>
        <w:spacing w:line="52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 w:cs="楷体"/>
          <w:sz w:val="32"/>
          <w:szCs w:val="32"/>
        </w:rPr>
        <w:t>设备要求</w:t>
      </w:r>
    </w:p>
    <w:p w14:paraId="3B77DF48">
      <w:pPr>
        <w:spacing w:line="52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为了保证供应商履约能力，满足医院特殊项目要求，在达成协议后供应商须提供以上检测设备的资质。设备需包括但不限于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数字切片扫描仪、冰冻切片机等。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供应商须为本项目配置远程会诊系统。</w:t>
      </w:r>
    </w:p>
    <w:p w14:paraId="691EFB76">
      <w:pPr>
        <w:spacing w:line="52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</w:t>
      </w:r>
      <w:r>
        <w:rPr>
          <w:rFonts w:hint="eastAsia" w:ascii="楷体" w:hAnsi="楷体" w:eastAsia="楷体" w:cs="楷体"/>
          <w:sz w:val="32"/>
          <w:szCs w:val="32"/>
        </w:rPr>
        <w:t>责任划分</w:t>
      </w:r>
    </w:p>
    <w:p w14:paraId="380F7261">
      <w:pPr>
        <w:spacing w:line="52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有能力承担整个诊疗过程所涉及的责任、风险，且责任、风险划分清晰明了，包括接收标本到诊断报告发出、诊断结果的解读等方面。</w:t>
      </w:r>
    </w:p>
    <w:p w14:paraId="129955BB">
      <w:pPr>
        <w:spacing w:line="52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（三）服务期限</w:t>
      </w:r>
      <w:r>
        <w:rPr>
          <w:rFonts w:hint="eastAsia" w:ascii="楷体" w:hAnsi="楷体" w:eastAsia="楷体" w:cs="楷体"/>
          <w:sz w:val="32"/>
          <w:szCs w:val="32"/>
        </w:rPr>
        <w:t>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本合同服务期限自双方签字盖章之日起计算，至满足下列任一条件时自动终止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1A2A7E2">
      <w:pPr>
        <w:spacing w:line="52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条件1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成都市</w:t>
      </w:r>
      <w:r>
        <w:rPr>
          <w:rFonts w:hint="eastAsia" w:ascii="仿宋_GB2312" w:hAnsi="仿宋_GB2312" w:eastAsia="仿宋_GB2312" w:cs="仿宋_GB2312"/>
          <w:sz w:val="32"/>
          <w:szCs w:val="32"/>
        </w:rPr>
        <w:t>新津区人民医院病理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科提升整体服务能力项目政府采购工作完成。</w:t>
      </w:r>
    </w:p>
    <w:p w14:paraId="3FF8769F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条件2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合同履行期间，供应商实际发生的服务费用累计达到人民币30万元的上限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（不含30万元）。</w:t>
      </w:r>
    </w:p>
    <w:p w14:paraId="7F07037D">
      <w:pPr>
        <w:spacing w:line="4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三、其他要求</w:t>
      </w:r>
    </w:p>
    <w:p w14:paraId="6C7A060F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（一）第三方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检验和</w:t>
      </w:r>
      <w:r>
        <w:rPr>
          <w:rFonts w:hint="eastAsia" w:ascii="仿宋_GB2312" w:hAnsi="仿宋_GB2312" w:eastAsia="仿宋_GB2312" w:cs="仿宋_GB2312"/>
          <w:sz w:val="32"/>
          <w:szCs w:val="32"/>
        </w:rPr>
        <w:t>病理机构应具备良好的信誉和商业道德，无违法违规行为记录。</w:t>
      </w:r>
    </w:p>
    <w:p w14:paraId="0FECE6D9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（二）能够提供优质、高效、安全的服务，确保患者的权益和安全。</w:t>
      </w:r>
    </w:p>
    <w:p w14:paraId="6975653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（三）需配合医院的各项工作安排，按时完成相关任务。</w:t>
      </w:r>
    </w:p>
    <w:p w14:paraId="1A0F5BDD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上述均为基本要求，第三方机构可根据项目特点制定项目方案并进行报价。</w:t>
      </w:r>
    </w:p>
    <w:p w14:paraId="64E26191">
      <w:pPr>
        <w:rPr>
          <w:rFonts w:hint="eastAsia" w:ascii="黑体" w:hAnsi="宋体" w:eastAsia="黑体" w:cs="黑体"/>
          <w:color w:val="000000"/>
          <w:sz w:val="28"/>
          <w:szCs w:val="28"/>
        </w:rPr>
      </w:pPr>
    </w:p>
    <w:p w14:paraId="35F43A2C">
      <w:pPr>
        <w:rPr>
          <w:rFonts w:hint="eastAsia" w:ascii="黑体" w:hAnsi="宋体" w:eastAsia="黑体" w:cs="黑体"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134" w:bottom="1418" w:left="1134" w:header="851" w:footer="992" w:gutter="0"/>
          <w:cols w:space="720" w:num="1"/>
          <w:docGrid w:type="lines" w:linePitch="312" w:charSpace="0"/>
        </w:sectPr>
      </w:pPr>
    </w:p>
    <w:p w14:paraId="390CD1F7">
      <w:pPr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附件2                 </w:t>
      </w:r>
    </w:p>
    <w:p w14:paraId="34344D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3" w:afterLines="50" w:line="500" w:lineRule="exact"/>
        <w:ind w:firstLine="646" w:firstLineChars="202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成都市新津区人民医院</w:t>
      </w:r>
    </w:p>
    <w:p w14:paraId="3B2722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27" w:afterLines="100" w:line="500" w:lineRule="exact"/>
        <w:ind w:firstLine="646" w:firstLineChars="202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“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临时采购检验和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病理部分项目服务外包”项目询价单</w:t>
      </w:r>
    </w:p>
    <w:tbl>
      <w:tblPr>
        <w:tblStyle w:val="8"/>
        <w:tblW w:w="513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530"/>
        <w:gridCol w:w="2397"/>
        <w:gridCol w:w="2071"/>
        <w:gridCol w:w="2339"/>
      </w:tblGrid>
      <w:tr w14:paraId="3E883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FAE6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  <w:t>序号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A100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  <w:t>项目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D900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  <w:t>成都市三级乙等医院价格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4A00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  <w:t>预估数量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9FB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  <w:t>报价（元）</w:t>
            </w:r>
          </w:p>
        </w:tc>
      </w:tr>
      <w:tr w14:paraId="46C50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502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DDC9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体液细胞学检查与诊断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D87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61元/例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4DE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000000"/>
                <w:lang w:bidi="ar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000000"/>
                <w:lang w:bidi="ar"/>
              </w:rPr>
              <w:t>例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0DE317">
            <w:pPr>
              <w:spacing w:line="360" w:lineRule="auto"/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58BF1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A44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  <w:lang w:bidi="ar"/>
              </w:rPr>
              <w:t>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893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穿刺组织活检检查与诊断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F3E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105元/例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6BDF">
            <w:pPr>
              <w:spacing w:line="360" w:lineRule="auto"/>
              <w:jc w:val="center"/>
              <w:rPr>
                <w:rFonts w:hint="eastAsia" w:ascii="仿宋" w:hAnsi="仿宋" w:eastAsia="仿宋" w:cs="等线"/>
                <w:color w:val="000000"/>
              </w:rPr>
            </w:pPr>
            <w:r>
              <w:rPr>
                <w:rFonts w:ascii="仿宋" w:hAnsi="仿宋" w:eastAsia="仿宋" w:cs="等线"/>
                <w:color w:val="000000"/>
              </w:rPr>
              <w:t>20</w:t>
            </w:r>
            <w:r>
              <w:rPr>
                <w:rFonts w:hint="eastAsia" w:ascii="仿宋" w:hAnsi="仿宋" w:eastAsia="仿宋" w:cs="等线"/>
                <w:color w:val="000000"/>
              </w:rPr>
              <w:t>例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B8D9B8">
            <w:pPr>
              <w:spacing w:line="360" w:lineRule="auto"/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2AD76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2B90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  <w:lang w:bidi="ar"/>
              </w:rPr>
              <w:t>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ACE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免疫组织化学染色诊断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6B2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105元/每个标本，每种染色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F4B0">
            <w:pPr>
              <w:spacing w:line="360" w:lineRule="auto"/>
              <w:jc w:val="center"/>
              <w:rPr>
                <w:rFonts w:hint="eastAsia" w:ascii="仿宋" w:hAnsi="仿宋" w:eastAsia="仿宋" w:cs="等线"/>
                <w:color w:val="000000"/>
              </w:rPr>
            </w:pPr>
            <w:r>
              <w:rPr>
                <w:rFonts w:ascii="仿宋" w:hAnsi="仿宋" w:eastAsia="仿宋" w:cs="等线"/>
                <w:color w:val="000000"/>
              </w:rPr>
              <w:t>2000</w:t>
            </w:r>
            <w:r>
              <w:rPr>
                <w:rFonts w:hint="eastAsia" w:ascii="仿宋" w:hAnsi="仿宋" w:eastAsia="仿宋" w:cs="等线"/>
                <w:color w:val="000000"/>
              </w:rPr>
              <w:t>/个标本、种染色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125D48">
            <w:pPr>
              <w:spacing w:line="360" w:lineRule="auto"/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03108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C3A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  <w:lang w:bidi="ar"/>
              </w:rPr>
              <w:t>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477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冰冻切片检查与诊断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ED0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270元/例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EE88">
            <w:pPr>
              <w:spacing w:line="360" w:lineRule="auto"/>
              <w:jc w:val="center"/>
              <w:rPr>
                <w:rFonts w:hint="eastAsia" w:ascii="仿宋" w:hAnsi="仿宋" w:eastAsia="仿宋" w:cs="等线"/>
                <w:color w:val="000000"/>
              </w:rPr>
            </w:pPr>
            <w:r>
              <w:rPr>
                <w:rFonts w:ascii="仿宋" w:hAnsi="仿宋" w:eastAsia="仿宋" w:cs="等线"/>
                <w:color w:val="000000"/>
              </w:rPr>
              <w:t>100</w:t>
            </w:r>
            <w:r>
              <w:rPr>
                <w:rFonts w:hint="eastAsia" w:ascii="仿宋" w:hAnsi="仿宋" w:eastAsia="仿宋" w:cs="等线"/>
                <w:color w:val="000000"/>
              </w:rPr>
              <w:t>例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072876">
            <w:pPr>
              <w:spacing w:line="360" w:lineRule="auto"/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6F0C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AE4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  <w:lang w:bidi="ar"/>
              </w:rPr>
              <w:t>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B16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手术标本检查与诊断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B1A6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74元/例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03E9F">
            <w:pPr>
              <w:spacing w:line="360" w:lineRule="auto"/>
              <w:jc w:val="center"/>
              <w:rPr>
                <w:rFonts w:hint="eastAsia" w:ascii="仿宋" w:hAnsi="仿宋" w:eastAsia="仿宋" w:cs="等线"/>
                <w:color w:val="000000"/>
              </w:rPr>
            </w:pPr>
            <w:r>
              <w:rPr>
                <w:rFonts w:ascii="仿宋" w:hAnsi="仿宋" w:eastAsia="仿宋" w:cs="等线"/>
                <w:color w:val="000000"/>
              </w:rPr>
              <w:t>450</w:t>
            </w:r>
            <w:r>
              <w:rPr>
                <w:rFonts w:hint="eastAsia" w:ascii="仿宋" w:hAnsi="仿宋" w:eastAsia="仿宋" w:cs="等线"/>
                <w:color w:val="000000"/>
              </w:rPr>
              <w:t>例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AD9238">
            <w:pPr>
              <w:spacing w:line="360" w:lineRule="auto"/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679B1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919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  <w:lang w:bidi="ar"/>
              </w:rPr>
              <w:t>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D0D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特殊染色及酶组织化学染色诊断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0A4B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45元/每个标本，每种染色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207FD">
            <w:pPr>
              <w:spacing w:line="360" w:lineRule="auto"/>
              <w:jc w:val="center"/>
              <w:rPr>
                <w:rFonts w:hint="eastAsia" w:ascii="仿宋" w:hAnsi="仿宋" w:eastAsia="仿宋" w:cs="等线"/>
                <w:color w:val="000000"/>
              </w:rPr>
            </w:pPr>
            <w:r>
              <w:rPr>
                <w:rFonts w:ascii="仿宋" w:hAnsi="仿宋" w:eastAsia="仿宋" w:cs="等线"/>
                <w:color w:val="000000"/>
              </w:rPr>
              <w:t>150</w:t>
            </w:r>
            <w:r>
              <w:rPr>
                <w:rFonts w:hint="eastAsia" w:ascii="仿宋" w:hAnsi="仿宋" w:eastAsia="仿宋" w:cs="等线"/>
                <w:color w:val="000000"/>
              </w:rPr>
              <w:t>例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608F6">
            <w:pPr>
              <w:spacing w:line="360" w:lineRule="auto"/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5B212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B23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  <w:lang w:bidi="ar"/>
              </w:rPr>
              <w:t>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2A76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免疫荧光染色诊断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64A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70元/每个标本，每种染色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4D2C">
            <w:pPr>
              <w:spacing w:line="360" w:lineRule="auto"/>
              <w:jc w:val="center"/>
              <w:rPr>
                <w:rFonts w:hint="eastAsia" w:ascii="仿宋" w:hAnsi="仿宋" w:eastAsia="仿宋" w:cs="等线"/>
                <w:color w:val="000000"/>
              </w:rPr>
            </w:pPr>
            <w:r>
              <w:rPr>
                <w:rFonts w:ascii="仿宋" w:hAnsi="仿宋" w:eastAsia="仿宋" w:cs="等线"/>
                <w:color w:val="000000"/>
              </w:rPr>
              <w:t>100/</w:t>
            </w:r>
            <w:r>
              <w:rPr>
                <w:rFonts w:hint="eastAsia" w:ascii="仿宋" w:hAnsi="仿宋" w:eastAsia="仿宋" w:cs="等线"/>
                <w:color w:val="000000"/>
              </w:rPr>
              <w:t>每个标本，每种染色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019105">
            <w:pPr>
              <w:spacing w:line="360" w:lineRule="auto"/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66852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76F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  <w:lang w:bidi="ar"/>
              </w:rPr>
              <w:t>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99B4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显微摄影术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2085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30元/每个视野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20393">
            <w:pPr>
              <w:spacing w:line="360" w:lineRule="auto"/>
              <w:jc w:val="center"/>
              <w:rPr>
                <w:rFonts w:hint="eastAsia" w:ascii="仿宋" w:hAnsi="仿宋" w:eastAsia="仿宋" w:cs="等线"/>
                <w:color w:val="000000"/>
              </w:rPr>
            </w:pPr>
            <w:r>
              <w:rPr>
                <w:rFonts w:ascii="仿宋" w:hAnsi="仿宋" w:eastAsia="仿宋" w:cs="等线"/>
                <w:color w:val="000000"/>
              </w:rPr>
              <w:t>1200/</w:t>
            </w:r>
            <w:r>
              <w:rPr>
                <w:rFonts w:hint="eastAsia" w:ascii="仿宋" w:hAnsi="仿宋" w:eastAsia="仿宋" w:cs="等线"/>
                <w:color w:val="000000"/>
              </w:rPr>
              <w:t>个视野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9849C0">
            <w:pPr>
              <w:spacing w:line="360" w:lineRule="auto"/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4DAC9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B5C8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  <w:lang w:bidi="ar"/>
              </w:rPr>
              <w:t>9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2CE8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脱氧核糖核酸（DNA）测序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4EF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330元/项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5428">
            <w:pPr>
              <w:spacing w:line="360" w:lineRule="auto"/>
              <w:jc w:val="center"/>
              <w:rPr>
                <w:rFonts w:hint="eastAsia" w:ascii="仿宋" w:hAnsi="仿宋" w:eastAsia="仿宋" w:cs="等线"/>
                <w:color w:val="000000"/>
              </w:rPr>
            </w:pPr>
            <w:r>
              <w:rPr>
                <w:rFonts w:ascii="仿宋" w:hAnsi="仿宋" w:eastAsia="仿宋" w:cs="等线"/>
                <w:color w:val="000000"/>
              </w:rPr>
              <w:t>10</w:t>
            </w:r>
            <w:r>
              <w:rPr>
                <w:rFonts w:hint="eastAsia" w:ascii="仿宋" w:hAnsi="仿宋" w:eastAsia="仿宋" w:cs="等线"/>
                <w:color w:val="000000"/>
              </w:rPr>
              <w:t>项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BCD453">
            <w:pPr>
              <w:spacing w:line="360" w:lineRule="auto"/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79AF5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D18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  <w:lang w:bidi="ar"/>
              </w:rPr>
              <w:t>10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F7F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普通病理会诊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2D4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110元/次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0361">
            <w:pPr>
              <w:spacing w:line="360" w:lineRule="auto"/>
              <w:jc w:val="center"/>
              <w:rPr>
                <w:rFonts w:hint="eastAsia" w:ascii="仿宋" w:hAnsi="仿宋" w:eastAsia="仿宋" w:cs="等线"/>
                <w:color w:val="000000"/>
              </w:rPr>
            </w:pPr>
            <w:r>
              <w:rPr>
                <w:rFonts w:ascii="仿宋" w:hAnsi="仿宋" w:eastAsia="仿宋" w:cs="等线"/>
                <w:color w:val="000000"/>
              </w:rPr>
              <w:t>200</w:t>
            </w:r>
            <w:r>
              <w:rPr>
                <w:rFonts w:hint="eastAsia" w:ascii="仿宋" w:hAnsi="仿宋" w:eastAsia="仿宋" w:cs="等线"/>
                <w:color w:val="000000"/>
              </w:rPr>
              <w:t>次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822F75">
            <w:pPr>
              <w:spacing w:line="360" w:lineRule="auto"/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2107DB6D">
        <w:trPr>
          <w:trHeight w:val="3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31D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  <w:lang w:bidi="ar"/>
              </w:rPr>
              <w:t>11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12D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普通透射电镜检查与诊断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745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170元/个标本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25C12">
            <w:pPr>
              <w:spacing w:line="360" w:lineRule="auto"/>
              <w:jc w:val="center"/>
              <w:rPr>
                <w:rFonts w:hint="eastAsia" w:ascii="仿宋" w:hAnsi="仿宋" w:eastAsia="仿宋" w:cs="等线"/>
                <w:color w:val="000000"/>
              </w:rPr>
            </w:pPr>
            <w:r>
              <w:rPr>
                <w:rFonts w:hint="eastAsia" w:ascii="仿宋" w:hAnsi="仿宋" w:eastAsia="仿宋" w:cs="等线"/>
                <w:color w:val="000000"/>
              </w:rPr>
              <w:t>1</w:t>
            </w:r>
            <w:r>
              <w:rPr>
                <w:rFonts w:ascii="仿宋" w:hAnsi="仿宋" w:eastAsia="仿宋" w:cs="等线"/>
                <w:color w:val="000000"/>
              </w:rPr>
              <w:t>0</w:t>
            </w:r>
            <w:r>
              <w:rPr>
                <w:rFonts w:hint="eastAsia" w:ascii="仿宋" w:hAnsi="仿宋" w:eastAsia="仿宋" w:cs="等线"/>
                <w:color w:val="000000"/>
              </w:rPr>
              <w:t>个标本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DD45E0">
            <w:pPr>
              <w:spacing w:line="360" w:lineRule="auto"/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19286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750A">
            <w:pPr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12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AFC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丙型肝炎RNA测定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1763">
            <w:pPr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66元/测试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65A2">
            <w:pPr>
              <w:spacing w:line="360" w:lineRule="auto"/>
              <w:jc w:val="center"/>
              <w:rPr>
                <w:rFonts w:hint="default" w:ascii="仿宋" w:hAnsi="仿宋" w:eastAsia="仿宋" w:cs="等线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等线"/>
                <w:color w:val="000000"/>
                <w:lang w:val="en-US" w:eastAsia="zh-CN"/>
              </w:rPr>
              <w:t>200个测试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FD730B">
            <w:pPr>
              <w:spacing w:line="360" w:lineRule="auto"/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560B2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C612">
            <w:pPr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13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7A3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甲型肝炎抗体测定(IgM)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178B9">
            <w:pPr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11.2</w:t>
            </w: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元/测试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538E7">
            <w:pPr>
              <w:spacing w:line="360" w:lineRule="auto"/>
              <w:jc w:val="center"/>
              <w:rPr>
                <w:rFonts w:hint="default" w:ascii="仿宋" w:hAnsi="仿宋" w:eastAsia="仿宋" w:cs="等线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等线"/>
                <w:color w:val="000000"/>
                <w:lang w:val="en-US" w:eastAsia="zh-CN"/>
              </w:rPr>
              <w:t>2000个测试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038077">
            <w:pPr>
              <w:spacing w:line="360" w:lineRule="auto"/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7E220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B238">
            <w:pPr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14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FF5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戊型肝炎抗体测定(Anti-HEV)(IgM)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56CD">
            <w:pPr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4.4元/测试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BA6C2">
            <w:pPr>
              <w:spacing w:line="360" w:lineRule="auto"/>
              <w:jc w:val="center"/>
              <w:rPr>
                <w:rFonts w:hint="default" w:ascii="仿宋" w:hAnsi="仿宋" w:eastAsia="仿宋" w:cs="等线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等线"/>
                <w:color w:val="000000"/>
                <w:lang w:val="en-US" w:eastAsia="zh-CN"/>
              </w:rPr>
              <w:t>2000个测试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B8C6BF">
            <w:pPr>
              <w:spacing w:line="360" w:lineRule="auto"/>
              <w:rPr>
                <w:rFonts w:hint="eastAsia" w:ascii="仿宋" w:hAnsi="仿宋" w:eastAsia="仿宋" w:cs="等线"/>
                <w:color w:val="000000"/>
              </w:rPr>
            </w:pPr>
          </w:p>
        </w:tc>
      </w:tr>
    </w:tbl>
    <w:p w14:paraId="02A6BA83">
      <w:pPr>
        <w:spacing w:line="360" w:lineRule="auto"/>
        <w:rPr>
          <w:rFonts w:hint="eastAsia" w:ascii="仿宋_GB2312" w:hAnsi="宋体" w:eastAsia="仿宋_GB2312"/>
          <w:b/>
          <w:bCs/>
          <w:lang w:eastAsia="zh-CN"/>
        </w:rPr>
      </w:pPr>
      <w:r>
        <w:rPr>
          <w:rFonts w:hint="eastAsia" w:ascii="仿宋_GB2312" w:hAnsi="宋体" w:eastAsia="仿宋_GB2312"/>
          <w:b/>
          <w:bCs/>
        </w:rPr>
        <w:t>注：</w:t>
      </w:r>
      <w:r>
        <w:rPr>
          <w:rFonts w:hint="eastAsia" w:ascii="仿宋_GB2312" w:hAnsi="宋体" w:eastAsia="仿宋_GB2312"/>
          <w:b/>
          <w:bCs/>
          <w:lang w:val="en-US" w:eastAsia="zh-CN"/>
        </w:rPr>
        <w:t>1.</w:t>
      </w:r>
      <w:r>
        <w:rPr>
          <w:rFonts w:hint="eastAsia" w:ascii="仿宋_GB2312" w:hAnsi="宋体" w:eastAsia="仿宋_GB2312"/>
          <w:b/>
          <w:bCs/>
        </w:rPr>
        <w:t>供应商报价包含了为提供此项服务所需产生的人工，运输（专用物流），检疫检测成本（物料及耗材），信息化网络使用及维护成本，税费，培训，合理利润等完成项目所需的所有费用，采购人不再额外为此项支付其他费用</w:t>
      </w:r>
      <w:r>
        <w:rPr>
          <w:rFonts w:hint="eastAsia" w:ascii="仿宋_GB2312" w:hAnsi="宋体" w:eastAsia="仿宋_GB2312"/>
          <w:b/>
          <w:bCs/>
          <w:lang w:eastAsia="zh-CN"/>
        </w:rPr>
        <w:t>。</w:t>
      </w:r>
    </w:p>
    <w:p w14:paraId="4254ADD1">
      <w:pPr>
        <w:spacing w:line="360" w:lineRule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lang w:val="en-US" w:eastAsia="zh-CN"/>
        </w:rPr>
        <w:t>2.以上预估数量为参照过往历史情况估算，本项目为根据实际情况据实支付。</w:t>
      </w:r>
    </w:p>
    <w:p w14:paraId="36521F98">
      <w:pPr>
        <w:adjustRightInd w:val="0"/>
        <w:spacing w:line="400" w:lineRule="exact"/>
        <w:rPr>
          <w:rFonts w:hint="eastAsia" w:ascii="仿宋_GB2312" w:hAnsi="宋体" w:eastAsia="仿宋_GB2312"/>
          <w:sz w:val="28"/>
          <w:szCs w:val="28"/>
        </w:rPr>
      </w:pPr>
    </w:p>
    <w:p w14:paraId="6DEF0606">
      <w:pPr>
        <w:adjustRightInd w:val="0"/>
        <w:spacing w:line="400" w:lineRule="exact"/>
        <w:ind w:left="4320" w:leftChars="18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供应商名称（盖章）：</w:t>
      </w:r>
    </w:p>
    <w:p w14:paraId="503A2678">
      <w:pPr>
        <w:adjustRightInd w:val="0"/>
        <w:spacing w:line="400" w:lineRule="exact"/>
        <w:ind w:left="4320" w:leftChars="18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法定代表人（签字）：</w:t>
      </w:r>
    </w:p>
    <w:p w14:paraId="4ED30BF6">
      <w:pPr>
        <w:adjustRightInd w:val="0"/>
        <w:spacing w:line="400" w:lineRule="exact"/>
        <w:ind w:left="4320" w:leftChars="18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授权代表人（签字）：</w:t>
      </w:r>
    </w:p>
    <w:p w14:paraId="54FE7527">
      <w:pPr>
        <w:adjustRightInd w:val="0"/>
        <w:spacing w:line="400" w:lineRule="exact"/>
        <w:ind w:left="4320" w:leftChars="18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联系方式：</w:t>
      </w:r>
    </w:p>
    <w:p w14:paraId="0B6BB77F">
      <w:pPr>
        <w:spacing w:line="400" w:lineRule="exact"/>
        <w:ind w:left="4320" w:leftChars="180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日    期：</w:t>
      </w:r>
    </w:p>
    <w:p w14:paraId="1D743F97">
      <w:pPr>
        <w:spacing w:line="20" w:lineRule="exact"/>
        <w:rPr>
          <w:rFonts w:hint="eastAsia"/>
        </w:rPr>
      </w:pPr>
    </w:p>
    <w:p w14:paraId="3A232536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sectPr>
          <w:pgSz w:w="11906" w:h="16838"/>
          <w:pgMar w:top="1418" w:right="1134" w:bottom="1418" w:left="1134" w:header="851" w:footer="992" w:gutter="0"/>
          <w:cols w:space="720" w:num="1"/>
          <w:docGrid w:type="lines" w:linePitch="312" w:charSpace="0"/>
        </w:sectPr>
      </w:pPr>
    </w:p>
    <w:p w14:paraId="3B66EB96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p w14:paraId="6CE4BF4F">
      <w:pPr>
        <w:adjustRightInd w:val="0"/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法定代表人授权书</w:t>
      </w:r>
    </w:p>
    <w:p w14:paraId="5ECC19C3">
      <w:pPr>
        <w:spacing w:after="160"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成都市新津区人民医院（成都市新津区急救指挥分中心）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4840112D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本授权声明：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我 （填法定代表人名称）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（填遴选单位名称）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的法定代表人，现授权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（授权代表姓名）为我方 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（项目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名称）的合法代表，以我方名义全权处理该项目有关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市场调研、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遴选、签订合同以及执行合同等一切事宜。</w:t>
      </w:r>
    </w:p>
    <w:p w14:paraId="7413D71F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特此声明。</w:t>
      </w:r>
    </w:p>
    <w:p w14:paraId="6F5EB229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</w:p>
    <w:p w14:paraId="5056D2E0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</w:p>
    <w:p w14:paraId="66295865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</w:t>
      </w:r>
    </w:p>
    <w:p w14:paraId="624753FA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授权代理人签字：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</w:p>
    <w:p w14:paraId="79853961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（盖章）  </w:t>
      </w:r>
    </w:p>
    <w:p w14:paraId="1255A1AD">
      <w:pPr>
        <w:spacing w:after="160" w:line="40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0BD70D23">
      <w:pPr>
        <w:spacing w:after="160" w:line="4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6F232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left="839" w:hanging="839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附：</w:t>
      </w:r>
    </w:p>
    <w:p w14:paraId="2C3DDEB2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法定代表人身份证复印件（提供正反面）</w:t>
      </w:r>
    </w:p>
    <w:p w14:paraId="14D44A08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授权代表身份证复印件（提供正反面）</w:t>
      </w:r>
    </w:p>
    <w:p w14:paraId="18B9E1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3.非法定代表人参与时提供</w:t>
      </w:r>
    </w:p>
    <w:p w14:paraId="7B9D1847">
      <w:pPr>
        <w:pStyle w:val="4"/>
        <w:spacing w:before="0" w:after="0" w:line="240" w:lineRule="auto"/>
        <w:jc w:val="left"/>
        <w:rPr>
          <w:rFonts w:hint="default" w:ascii="Times New Roman" w:hAnsi="Times New Roman" w:eastAsia="仿宋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br w:type="page"/>
      </w:r>
      <w:r>
        <w:rPr>
          <w:rFonts w:hint="eastAsia" w:ascii="Times New Roman" w:hAnsi="Times New Roman" w:eastAsia="仿宋"/>
          <w:sz w:val="28"/>
          <w:szCs w:val="28"/>
          <w:highlight w:val="none"/>
          <w:lang w:val="en-US" w:eastAsia="zh-CN"/>
        </w:rPr>
        <w:t>附件4</w:t>
      </w:r>
    </w:p>
    <w:p w14:paraId="6C6A4884">
      <w:pPr>
        <w:adjustRightIn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法定代表人证明书</w:t>
      </w:r>
    </w:p>
    <w:p w14:paraId="29D8458A">
      <w:pPr>
        <w:spacing w:after="160" w:line="360" w:lineRule="auto"/>
        <w:ind w:firstLine="420"/>
        <w:rPr>
          <w:rFonts w:ascii="Times New Roman" w:hAnsi="Times New Roman" w:eastAsia="仿宋"/>
          <w:highlight w:val="none"/>
        </w:rPr>
      </w:pPr>
    </w:p>
    <w:p w14:paraId="52EA280B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</w:t>
      </w:r>
    </w:p>
    <w:p w14:paraId="43C180C5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成立时间：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42CA06F1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</w:t>
      </w:r>
    </w:p>
    <w:p w14:paraId="5DF15462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</w:p>
    <w:p w14:paraId="3B1F58FD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（申请人名称）的法定代表人。（如涉及）</w:t>
      </w:r>
    </w:p>
    <w:p w14:paraId="70785510">
      <w:pPr>
        <w:spacing w:after="160" w:line="360" w:lineRule="auto"/>
        <w:ind w:firstLine="9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特此证明。</w:t>
      </w:r>
    </w:p>
    <w:p w14:paraId="7DFD4105">
      <w:pPr>
        <w:spacing w:after="160" w:line="360" w:lineRule="auto"/>
        <w:ind w:firstLine="492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2FAD0E5">
      <w:pPr>
        <w:spacing w:after="160" w:line="360" w:lineRule="auto"/>
        <w:ind w:firstLine="484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（加盖公章（鲜章））</w:t>
      </w:r>
    </w:p>
    <w:p w14:paraId="43129515">
      <w:pPr>
        <w:spacing w:after="160" w:line="360" w:lineRule="auto"/>
        <w:ind w:firstLine="484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097125D">
      <w:pPr>
        <w:spacing w:after="160" w:line="360" w:lineRule="auto"/>
        <w:ind w:firstLine="484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年     月     日</w:t>
      </w:r>
    </w:p>
    <w:p w14:paraId="622C33A8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注：</w:t>
      </w:r>
    </w:p>
    <w:p w14:paraId="591029BC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须附法定代表人的身份证复印件（提供正反面）；</w:t>
      </w:r>
    </w:p>
    <w:p w14:paraId="5CA9CE4C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sectPr>
          <w:pgSz w:w="11906" w:h="16838"/>
          <w:pgMar w:top="1418" w:right="1134" w:bottom="1418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法定代表人直接参与时提供</w:t>
      </w:r>
    </w:p>
    <w:p w14:paraId="453D8E71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4B7E3">
    <w:pPr>
      <w:pStyle w:val="6"/>
      <w:snapToGrid w:val="0"/>
      <w:spacing w:after="160"/>
      <w:jc w:val="center"/>
      <w:rPr>
        <w:rFonts w:hAnsi="Times New Roman"/>
      </w:rPr>
    </w:pPr>
    <w:r>
      <w:fldChar w:fldCharType="begin"/>
    </w:r>
    <w:r>
      <w:instrText xml:space="preserve">PAGE  \* MERGEFORMAT</w:instrText>
    </w:r>
    <w:r>
      <w:fldChar w:fldCharType="separate"/>
    </w:r>
    <w:r>
      <w:rPr>
        <w:rFonts w:hAnsi="Times New Roman"/>
      </w:rPr>
      <w:t>2</w:t>
    </w:r>
    <w:r>
      <w:rPr>
        <w:rFonts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875B8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88B0A">
                          <w:pPr>
                            <w:pStyle w:val="6"/>
                            <w:jc w:val="cen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75B88B0A">
                    <w:pPr>
                      <w:pStyle w:val="6"/>
                      <w:jc w:val="cen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0310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A4E"/>
    <w:rsid w:val="0EAC525A"/>
    <w:rsid w:val="31D02A3D"/>
    <w:rsid w:val="4191520C"/>
    <w:rsid w:val="4AEC6208"/>
    <w:rsid w:val="75D3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1500"/>
      </w:tabs>
    </w:pPr>
    <w:rPr>
      <w:rFonts w:ascii="宋体" w:hAnsi="宋体" w:eastAsia="宋体"/>
      <w:sz w:val="24"/>
      <w:szCs w:val="24"/>
    </w:rPr>
  </w:style>
  <w:style w:type="paragraph" w:styleId="5">
    <w:name w:val="annotation text"/>
    <w:basedOn w:val="1"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2026-01-21T01:21:40Z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eyJoZGlkIjoiYjA3M2EzMjliYjZkYjRmMzU3YzU1MzU2MmYwMjhjYjgiLCJ1c2VySWQiOiIyNjAwNTAyNjYifQ==</vt:lpwstr>
  </property>
</Properties>
</file>