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E508">
      <w:pPr>
        <w:spacing w:line="360" w:lineRule="auto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1E630289">
      <w:pPr>
        <w:numPr>
          <w:ilvl w:val="0"/>
          <w:numId w:val="0"/>
        </w:numPr>
        <w:spacing w:line="360" w:lineRule="auto"/>
        <w:jc w:val="center"/>
        <w:rPr>
          <w:rFonts w:hint="default" w:ascii="黑体" w:hAnsi="宋体" w:eastAsia="黑体" w:cs="黑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-SA"/>
        </w:rPr>
        <w:t>调研产品要求</w:t>
      </w:r>
    </w:p>
    <w:p w14:paraId="663D1EC3">
      <w:pPr>
        <w:numPr>
          <w:ilvl w:val="0"/>
          <w:numId w:val="0"/>
        </w:numPr>
        <w:spacing w:line="360" w:lineRule="auto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设备清单</w:t>
      </w:r>
    </w:p>
    <w:p w14:paraId="4247D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详情见附件表格清单</w:t>
      </w:r>
    </w:p>
    <w:p w14:paraId="7D462749"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  <w:t>维保要求</w:t>
      </w:r>
    </w:p>
    <w:p w14:paraId="35626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1.接到采购人空调故障报修后，供应商维修人员应在15分钟内到达现场，开展维修工作。（人员需具备制冷与空调作业证和电工作业证）。</w:t>
      </w:r>
    </w:p>
    <w:p w14:paraId="44DD2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运行维保中使用的材料(维修材料、易耗品、易损件、零部件、非标自加工件、全部油耗等)，单次发生1000元及以下的全部由供应商负责提供，供应商应对其提供材料的质量承担责任。单次金额1000元（不含）以上由供应商报送采购人审核批准后再进行更换，费用另计，供应商负责更换和维修。</w:t>
      </w:r>
    </w:p>
    <w:p w14:paraId="11A1A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3.运维保养作业中，劳动防护用品及使用工具，由供应商自行配备。</w:t>
      </w:r>
    </w:p>
    <w:p w14:paraId="3E9EE38A">
      <w:pPr>
        <w:numPr>
          <w:ilvl w:val="0"/>
          <w:numId w:val="0"/>
        </w:numPr>
        <w:spacing w:line="360" w:lineRule="auto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-SA"/>
        </w:rPr>
        <w:t>三、初、中、高效过滤器清洗及更换（国产一线品牌）</w:t>
      </w:r>
    </w:p>
    <w:p w14:paraId="66110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1.净化空调机组的初效过滤器，两个月更换一次；</w:t>
      </w:r>
    </w:p>
    <w:p w14:paraId="5E122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2.手术室的回风口及排风过滤网，每月更换一次；</w:t>
      </w:r>
    </w:p>
    <w:p w14:paraId="342FE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3.中效过滤器，3个月更换一次；</w:t>
      </w:r>
    </w:p>
    <w:p w14:paraId="7B207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4.亚高效过滤器，每年更换一次；</w:t>
      </w:r>
    </w:p>
    <w:p w14:paraId="7A323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5.高效过滤器，末端高效过滤器宜每年检查一次，当阻力超过设计初阻力160Pa或3年更换一次；</w:t>
      </w:r>
    </w:p>
    <w:p w14:paraId="67065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6.更换高效过滤器后应进行监测，提供国家认证的CMA检测报告；执行标准应满足《医院空气净化管理规范》WS/T368—2012，结果的判定应符合《医院洁净手术部建筑技术规范》GB50333-2013的要求。</w:t>
      </w:r>
    </w:p>
    <w:p w14:paraId="02720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供应商每季度进行一次手术室洁净度自检检测（尘埃粒子、压差、风速风量、换气次数、温湿度、照度、噪音分贝数等）并提供经检测合格报告交给采购人，净化空调的标准按照《医院洁净手术部建筑技术规范》GB50333-2013的要求。每年必须进行对手术间层流系统的各项指标进行检测出具合格报告，并具有第三方有资质单位进行检测并出具有效的报告。</w:t>
      </w:r>
    </w:p>
    <w:p w14:paraId="3BEFDF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3C748E2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0"/>
      </w:tabs>
      <w:spacing w:after="120"/>
    </w:p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2025-06-04T11:05:12Z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