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C3D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center"/>
        <w:textAlignment w:val="auto"/>
        <w:rPr>
          <w:rFonts w:hint="eastAsia" w:cstheme="minorBidi"/>
          <w:b/>
          <w:kern w:val="2"/>
          <w:sz w:val="40"/>
          <w:szCs w:val="32"/>
          <w:lang w:val="en-US" w:eastAsia="zh-CN" w:bidi="ar-SA"/>
        </w:rPr>
      </w:pPr>
      <w:r>
        <w:rPr>
          <w:rFonts w:hint="eastAsia" w:cstheme="minorBidi"/>
          <w:b/>
          <w:kern w:val="2"/>
          <w:sz w:val="40"/>
          <w:szCs w:val="32"/>
          <w:lang w:val="en-US" w:eastAsia="zh-CN" w:bidi="ar-SA"/>
        </w:rPr>
        <w:t>新院区+老院区污水处理站运维服务</w:t>
      </w:r>
    </w:p>
    <w:p w14:paraId="57EBDF09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center"/>
        <w:textAlignment w:val="auto"/>
        <w:rPr>
          <w:rFonts w:hint="default" w:ascii="Arial" w:hAnsi="Arial" w:eastAsia="黑体" w:cstheme="minorBidi"/>
          <w:b/>
          <w:kern w:val="2"/>
          <w:sz w:val="40"/>
          <w:szCs w:val="32"/>
          <w:lang w:val="en-US" w:eastAsia="zh-CN" w:bidi="ar-SA"/>
        </w:rPr>
      </w:pPr>
      <w:r>
        <w:rPr>
          <w:rFonts w:hint="eastAsia" w:cstheme="minorBidi"/>
          <w:b/>
          <w:kern w:val="2"/>
          <w:sz w:val="40"/>
          <w:szCs w:val="32"/>
          <w:lang w:val="en-US" w:eastAsia="zh-CN" w:bidi="ar-SA"/>
        </w:rPr>
        <w:t>市场调研需求</w:t>
      </w:r>
    </w:p>
    <w:p w14:paraId="0076C281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/>
          <w:lang w:val="en-US" w:eastAsia="zh-CN"/>
        </w:rPr>
        <w:t>项目概况：</w:t>
      </w:r>
    </w:p>
    <w:p w14:paraId="4E5D68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200" w:firstLine="0" w:firstLineChars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项目名称：成都市新津区人民医院新院区+老院区污水处理站运维服务项目。项目概况：新院区建设床位数650张，预计每日排水量400m³左右；</w:t>
      </w:r>
    </w:p>
    <w:p w14:paraId="55DED8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老院区保留门诊区域，预计每日排水量30m³左右。</w:t>
      </w:r>
    </w:p>
    <w:p w14:paraId="31CCE7F7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/>
          <w:lang w:val="en-US" w:eastAsia="zh-CN"/>
        </w:rPr>
        <w:t>服务内容：</w:t>
      </w:r>
    </w:p>
    <w:p w14:paraId="38DF81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lang w:val="en-US" w:eastAsia="zh-CN"/>
        </w:rPr>
        <w:t>负责医院污水处理站日常水质检测、设备维修保养、资料管理、供应消毒药剂等工作，保障污水处理站正常运行。</w:t>
      </w:r>
    </w:p>
    <w:p w14:paraId="4C671AE0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2、负责新医院污水处理在线监测一套设备的运维工作（包</w:t>
      </w:r>
      <w:bookmarkStart w:id="0" w:name="_GoBack"/>
      <w:bookmarkEnd w:id="0"/>
      <w:r>
        <w:rPr>
          <w:rFonts w:hint="eastAsia"/>
          <w:lang w:val="en-US" w:eastAsia="zh-CN"/>
        </w:rPr>
        <w:t>含耗材更换、配件更换等），设备至少包含：PH、余氯、COD（化学需氧量）、氨氮、流量计、水质采样器、数采仪等。</w:t>
      </w:r>
    </w:p>
    <w:p w14:paraId="34FAF02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Theme="minorAscii" w:hAnsiTheme="minorAscii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负责按医院要求提供CMA认证的第三方水质监测、废气监测、噪音监测等项目报告。</w:t>
      </w:r>
    </w:p>
    <w:p w14:paraId="57FB738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负责站点公示栏、制度牌、操作流程、安全标识、有限空间等相关制度流程张贴上墙。</w:t>
      </w:r>
    </w:p>
    <w:p w14:paraId="48CA14B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根据应急管理要求的物资。</w:t>
      </w:r>
    </w:p>
    <w:p w14:paraId="399267C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做好污水处理人员日常培训、管理工作。</w:t>
      </w:r>
    </w:p>
    <w:p w14:paraId="78C59FC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做好污水处理站日常管理工作。</w:t>
      </w:r>
      <w:r>
        <w:rPr>
          <w:rFonts w:hint="eastAsia"/>
          <w:lang w:val="en-US" w:eastAsia="zh-CN"/>
        </w:rPr>
        <w:tab/>
      </w:r>
    </w:p>
    <w:p w14:paraId="52DA16ED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（三）</w:t>
      </w:r>
      <w:r>
        <w:rPr>
          <w:rFonts w:hint="eastAsia"/>
          <w:lang w:val="en-US" w:eastAsia="zh-CN"/>
        </w:rPr>
        <w:t>服务要求：</w:t>
      </w:r>
    </w:p>
    <w:p w14:paraId="5700C4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lang w:val="en-US" w:eastAsia="zh-CN"/>
        </w:rPr>
        <w:t>人员24小时配置要求：驻点运营人员≥2名、运营管家2名、技术人员1名、机修人员1名、站点管理人员1名；拟投入的技术管理人员需具备污水处理从业职称资格（提供相应证书复印件并加盖公章有效）。</w:t>
      </w:r>
    </w:p>
    <w:p w14:paraId="01353CD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lang w:val="en-US" w:eastAsia="zh-CN"/>
        </w:rPr>
        <w:t>日常人工水质监测每日至少4次，污水站巡查每日至少6次，设备保养每月至少1次，做好记录台账。</w:t>
      </w:r>
    </w:p>
    <w:p w14:paraId="00F4FEA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/>
          <w:lang w:val="en-US" w:eastAsia="zh-CN"/>
        </w:rPr>
        <w:t>设备保养和维修中，单个设备配件价格在1000 元或 1000元以下的，由运营方承担；单个设备配件价格在1000元以上的，由院方承担</w:t>
      </w:r>
      <w:r>
        <w:rPr>
          <w:rFonts w:hint="default"/>
          <w:lang w:val="en-US" w:eastAsia="zh-CN"/>
        </w:rPr>
        <w:t>；</w:t>
      </w:r>
    </w:p>
    <w:p w14:paraId="3E9FC2E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/>
          <w:lang w:val="en-US" w:eastAsia="zh-CN"/>
        </w:rPr>
        <w:t>负责废气处理设备装置日常巡检、月度运维、辅材更换；</w:t>
      </w:r>
    </w:p>
    <w:p w14:paraId="3593A7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/>
          <w:lang w:val="en-US" w:eastAsia="zh-CN"/>
        </w:rPr>
        <w:t>提</w:t>
      </w:r>
      <w:r>
        <w:rPr>
          <w:rFonts w:hint="eastAsia"/>
          <w:u w:val="none"/>
          <w:lang w:val="en-US" w:eastAsia="zh-CN"/>
        </w:rPr>
        <w:t>供污水站污水消毒所用次氯酸钠消毒药剂，并提供批次检测报告、合格证、卫生安全</w:t>
      </w:r>
      <w:r>
        <w:rPr>
          <w:rFonts w:hint="eastAsia"/>
          <w:lang w:val="en-US" w:eastAsia="zh-CN"/>
        </w:rPr>
        <w:t>评价报告等相关资料；</w:t>
      </w:r>
    </w:p>
    <w:p w14:paraId="02D4040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6、根据排污许可证环境管理台账记录要求建立污水站资料库，负责数据记录及资料整理保管工作；</w:t>
      </w:r>
    </w:p>
    <w:p w14:paraId="1D47926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Ascii" w:hAnsiTheme="minorAsci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在发生故障及其他紧急情况时，应在6小时内解决问题；</w:t>
      </w:r>
    </w:p>
    <w:p w14:paraId="52652E0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Theme="minorAscii" w:hAnsiTheme="minorAsci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排放的污水</w:t>
      </w:r>
      <w:r>
        <w:rPr>
          <w:rFonts w:hint="default"/>
          <w:lang w:val="en-US" w:eastAsia="zh-CN"/>
        </w:rPr>
        <w:t>水质满足《医疗机构水污染排放标准》(GB18466-2005)表2中的预处理排放标准，</w:t>
      </w:r>
      <w:r>
        <w:rPr>
          <w:rFonts w:hint="eastAsia"/>
          <w:color w:val="auto"/>
          <w:lang w:val="en-US" w:eastAsia="zh-CN"/>
        </w:rPr>
        <w:t>如果污水超标或其他事故造成环保部门罚款，由运营方承担全部责任；</w:t>
      </w:r>
    </w:p>
    <w:p w14:paraId="530DBE38"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9、</w:t>
      </w:r>
      <w:r>
        <w:rPr>
          <w:rFonts w:hint="eastAsia"/>
          <w:lang w:val="en-US" w:eastAsia="zh-CN"/>
        </w:rPr>
        <w:t>在污水站配置人员卫生防护等用品。</w:t>
      </w:r>
    </w:p>
    <w:p w14:paraId="63291F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10、负责协助院方迎检、填报资料、安全培训等工作。</w:t>
      </w:r>
    </w:p>
    <w:p w14:paraId="6CE910B1">
      <w:pPr>
        <w:pStyle w:val="2"/>
        <w:numPr>
          <w:ilvl w:val="0"/>
          <w:numId w:val="0"/>
        </w:numPr>
        <w:ind w:left="0" w:leftChars="0" w:firstLine="480" w:firstLineChars="200"/>
        <w:rPr>
          <w:rFonts w:hint="default"/>
          <w:color w:val="auto"/>
          <w:lang w:val="en-US" w:eastAsia="zh-CN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11</w:t>
      </w:r>
      <w:r>
        <w:rPr>
          <w:rFonts w:hint="default" w:asciiTheme="minorAscii" w:hAnsiTheme="minorAsci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color w:val="auto"/>
          <w:lang w:val="en-US" w:eastAsia="zh-CN"/>
        </w:rPr>
        <w:t>报告频次及要求：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702"/>
        <w:gridCol w:w="1951"/>
        <w:gridCol w:w="2411"/>
      </w:tblGrid>
      <w:tr w14:paraId="2310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461D4FB">
            <w:pPr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8" w:type="dxa"/>
          </w:tcPr>
          <w:p w14:paraId="6B1A7EAB">
            <w:pPr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监测频次</w:t>
            </w:r>
          </w:p>
        </w:tc>
        <w:tc>
          <w:tcPr>
            <w:tcW w:w="1702" w:type="dxa"/>
          </w:tcPr>
          <w:p w14:paraId="4FD26F60">
            <w:pPr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取样点位</w:t>
            </w:r>
          </w:p>
        </w:tc>
        <w:tc>
          <w:tcPr>
            <w:tcW w:w="1951" w:type="dxa"/>
          </w:tcPr>
          <w:p w14:paraId="51307DA8">
            <w:pPr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411" w:type="dxa"/>
          </w:tcPr>
          <w:p w14:paraId="3BEA4DB3">
            <w:pPr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检测要求</w:t>
            </w:r>
          </w:p>
        </w:tc>
      </w:tr>
      <w:tr w14:paraId="4464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65D0AC1F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  <w:p w14:paraId="3A32F390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dxa"/>
          </w:tcPr>
          <w:p w14:paraId="51F628EA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  <w:p w14:paraId="08D0AEA7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1次/季度</w:t>
            </w:r>
          </w:p>
        </w:tc>
        <w:tc>
          <w:tcPr>
            <w:tcW w:w="1702" w:type="dxa"/>
          </w:tcPr>
          <w:p w14:paraId="37320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6BD9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废水排放口</w:t>
            </w:r>
          </w:p>
        </w:tc>
        <w:tc>
          <w:tcPr>
            <w:tcW w:w="1951" w:type="dxa"/>
          </w:tcPr>
          <w:p w14:paraId="3B61A0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PH、悬浮物、化学需氧量、五日生化需氧量、氨氮、总余氯、粪大肠菌群、阴离子表面活性剂、总磷（以P计）、石油类、动植物油、挥发酚、沙门氏菌、志贺氏菌。</w:t>
            </w:r>
          </w:p>
          <w:p w14:paraId="6F2B57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11" w:type="dxa"/>
          </w:tcPr>
          <w:p w14:paraId="6DCB7ABC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  <w:t>按照相关生态环境标准确定</w:t>
            </w:r>
          </w:p>
        </w:tc>
      </w:tr>
      <w:tr w14:paraId="6413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47380648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dxa"/>
          </w:tcPr>
          <w:p w14:paraId="5FC7915A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每周一次</w:t>
            </w:r>
          </w:p>
        </w:tc>
        <w:tc>
          <w:tcPr>
            <w:tcW w:w="1702" w:type="dxa"/>
            <w:vAlign w:val="center"/>
          </w:tcPr>
          <w:p w14:paraId="06D1FC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废水排放口</w:t>
            </w:r>
          </w:p>
        </w:tc>
        <w:tc>
          <w:tcPr>
            <w:tcW w:w="1951" w:type="dxa"/>
            <w:vAlign w:val="center"/>
          </w:tcPr>
          <w:p w14:paraId="61F3E43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悬浮物</w:t>
            </w:r>
          </w:p>
        </w:tc>
        <w:tc>
          <w:tcPr>
            <w:tcW w:w="2411" w:type="dxa"/>
          </w:tcPr>
          <w:p w14:paraId="1B05EE7D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  <w:t>按照相关生态环境标准确定</w:t>
            </w:r>
          </w:p>
        </w:tc>
      </w:tr>
      <w:tr w14:paraId="73CD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1D38DE52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dxa"/>
          </w:tcPr>
          <w:p w14:paraId="794A355F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1次/季度</w:t>
            </w:r>
          </w:p>
        </w:tc>
        <w:tc>
          <w:tcPr>
            <w:tcW w:w="1702" w:type="dxa"/>
          </w:tcPr>
          <w:p w14:paraId="5098A737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污水站周界</w:t>
            </w:r>
          </w:p>
        </w:tc>
        <w:tc>
          <w:tcPr>
            <w:tcW w:w="1951" w:type="dxa"/>
          </w:tcPr>
          <w:p w14:paraId="1137B206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噪音</w:t>
            </w:r>
          </w:p>
        </w:tc>
        <w:tc>
          <w:tcPr>
            <w:tcW w:w="2411" w:type="dxa"/>
          </w:tcPr>
          <w:p w14:paraId="727A33F0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按照相关生态环境标准确定</w:t>
            </w:r>
          </w:p>
        </w:tc>
      </w:tr>
      <w:tr w14:paraId="6881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BC96D83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dxa"/>
          </w:tcPr>
          <w:p w14:paraId="68AF69EB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每月一次</w:t>
            </w:r>
          </w:p>
        </w:tc>
        <w:tc>
          <w:tcPr>
            <w:tcW w:w="1702" w:type="dxa"/>
          </w:tcPr>
          <w:p w14:paraId="7AC60463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废气排放口</w:t>
            </w:r>
          </w:p>
        </w:tc>
        <w:tc>
          <w:tcPr>
            <w:tcW w:w="1951" w:type="dxa"/>
          </w:tcPr>
          <w:p w14:paraId="4B5706F7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氮氧化物</w:t>
            </w:r>
          </w:p>
        </w:tc>
        <w:tc>
          <w:tcPr>
            <w:tcW w:w="2411" w:type="dxa"/>
          </w:tcPr>
          <w:p w14:paraId="05FA2A60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  <w:t>按照相关生态环境标准确定</w:t>
            </w:r>
          </w:p>
        </w:tc>
      </w:tr>
      <w:tr w14:paraId="57CA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321C9C6E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dxa"/>
          </w:tcPr>
          <w:p w14:paraId="0F9404B7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1702" w:type="dxa"/>
          </w:tcPr>
          <w:p w14:paraId="5387F77A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废气排放口</w:t>
            </w:r>
          </w:p>
        </w:tc>
        <w:tc>
          <w:tcPr>
            <w:tcW w:w="1951" w:type="dxa"/>
          </w:tcPr>
          <w:p w14:paraId="2BC7E8E7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Style w:val="14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14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林格曼黑度、一氧化碳、二氧化硫</w:t>
            </w:r>
          </w:p>
        </w:tc>
        <w:tc>
          <w:tcPr>
            <w:tcW w:w="2411" w:type="dxa"/>
          </w:tcPr>
          <w:p w14:paraId="57E770C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  <w:t>按照相关生态环境标准确定</w:t>
            </w:r>
          </w:p>
        </w:tc>
      </w:tr>
      <w:tr w14:paraId="0675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ECEB588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dxa"/>
          </w:tcPr>
          <w:p w14:paraId="11C05110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1次/季度</w:t>
            </w:r>
          </w:p>
        </w:tc>
        <w:tc>
          <w:tcPr>
            <w:tcW w:w="1702" w:type="dxa"/>
          </w:tcPr>
          <w:p w14:paraId="2E141253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污水处理站废气排放口</w:t>
            </w:r>
          </w:p>
        </w:tc>
        <w:tc>
          <w:tcPr>
            <w:tcW w:w="1951" w:type="dxa"/>
          </w:tcPr>
          <w:p w14:paraId="6BB02DFA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Style w:val="14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1"/>
                <w:sz w:val="24"/>
                <w:szCs w:val="24"/>
                <w:highlight w:val="none"/>
                <w:lang w:val="en-US" w:eastAsia="zh-CN"/>
              </w:rPr>
              <w:t>臭气浓度、氨（氨气）、硫化氢、颗粒物</w:t>
            </w:r>
          </w:p>
        </w:tc>
        <w:tc>
          <w:tcPr>
            <w:tcW w:w="2411" w:type="dxa"/>
          </w:tcPr>
          <w:p w14:paraId="445F4972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2"/>
                <w:vertAlign w:val="baseline"/>
                <w:lang w:val="en-US" w:eastAsia="zh-CN"/>
              </w:rPr>
              <w:t>按照相关生态环境标准确定</w:t>
            </w:r>
          </w:p>
        </w:tc>
      </w:tr>
      <w:tr w14:paraId="4487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053683E1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default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dxa"/>
          </w:tcPr>
          <w:p w14:paraId="07A3152E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1次/月度</w:t>
            </w:r>
          </w:p>
        </w:tc>
        <w:tc>
          <w:tcPr>
            <w:tcW w:w="1702" w:type="dxa"/>
          </w:tcPr>
          <w:p w14:paraId="1730AE1C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污水站内</w:t>
            </w:r>
          </w:p>
        </w:tc>
        <w:tc>
          <w:tcPr>
            <w:tcW w:w="1951" w:type="dxa"/>
          </w:tcPr>
          <w:p w14:paraId="74CD4954">
            <w:pPr>
              <w:numPr>
                <w:ilvl w:val="0"/>
                <w:numId w:val="0"/>
              </w:numPr>
              <w:spacing w:line="720" w:lineRule="auto"/>
              <w:jc w:val="center"/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巡检报告</w:t>
            </w:r>
          </w:p>
        </w:tc>
        <w:tc>
          <w:tcPr>
            <w:tcW w:w="2411" w:type="dxa"/>
          </w:tcPr>
          <w:p w14:paraId="712CC22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按照相关管理规范标准确定</w:t>
            </w:r>
          </w:p>
        </w:tc>
      </w:tr>
    </w:tbl>
    <w:p w14:paraId="1FAB4186"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5C033"/>
    <w:multiLevelType w:val="multilevel"/>
    <w:tmpl w:val="A265C033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U1MWMwYTM5NTc4MGRiNjk4YmExMzIwMjNlYjgifQ=="/>
  </w:docVars>
  <w:rsids>
    <w:rsidRoot w:val="00000000"/>
    <w:rsid w:val="003227E4"/>
    <w:rsid w:val="00C823C4"/>
    <w:rsid w:val="015D7FC1"/>
    <w:rsid w:val="01FD1C94"/>
    <w:rsid w:val="02747CC9"/>
    <w:rsid w:val="02DC3F04"/>
    <w:rsid w:val="03317EEE"/>
    <w:rsid w:val="03A13D62"/>
    <w:rsid w:val="03B44E81"/>
    <w:rsid w:val="03F96F90"/>
    <w:rsid w:val="04014DF7"/>
    <w:rsid w:val="049B2A91"/>
    <w:rsid w:val="04F56D67"/>
    <w:rsid w:val="053B2B2C"/>
    <w:rsid w:val="064C720C"/>
    <w:rsid w:val="069260DA"/>
    <w:rsid w:val="06B6287D"/>
    <w:rsid w:val="06E8225E"/>
    <w:rsid w:val="07C74A87"/>
    <w:rsid w:val="08DD2996"/>
    <w:rsid w:val="09C05037"/>
    <w:rsid w:val="0A450FB4"/>
    <w:rsid w:val="0A871EF8"/>
    <w:rsid w:val="0B1723EB"/>
    <w:rsid w:val="0B1F54CD"/>
    <w:rsid w:val="0BAA6559"/>
    <w:rsid w:val="0BDC1F13"/>
    <w:rsid w:val="0C411CBF"/>
    <w:rsid w:val="0C7822E7"/>
    <w:rsid w:val="0CD363D2"/>
    <w:rsid w:val="0D0363F1"/>
    <w:rsid w:val="0D961F8A"/>
    <w:rsid w:val="0E361AFD"/>
    <w:rsid w:val="0F3379B3"/>
    <w:rsid w:val="0F4271F8"/>
    <w:rsid w:val="10617DB4"/>
    <w:rsid w:val="11CE710E"/>
    <w:rsid w:val="12505D75"/>
    <w:rsid w:val="12823E66"/>
    <w:rsid w:val="12A63C95"/>
    <w:rsid w:val="13E4509A"/>
    <w:rsid w:val="15556541"/>
    <w:rsid w:val="157A5DD8"/>
    <w:rsid w:val="15925FB2"/>
    <w:rsid w:val="15D53161"/>
    <w:rsid w:val="16C45116"/>
    <w:rsid w:val="16E25A2F"/>
    <w:rsid w:val="17426D8B"/>
    <w:rsid w:val="177972A6"/>
    <w:rsid w:val="183304C2"/>
    <w:rsid w:val="187442FD"/>
    <w:rsid w:val="193006AE"/>
    <w:rsid w:val="1A455FF1"/>
    <w:rsid w:val="1A8E2591"/>
    <w:rsid w:val="1AAB1319"/>
    <w:rsid w:val="1AC437A4"/>
    <w:rsid w:val="1B016C13"/>
    <w:rsid w:val="1B876136"/>
    <w:rsid w:val="1C161AF5"/>
    <w:rsid w:val="1C2829E7"/>
    <w:rsid w:val="1C9F24B5"/>
    <w:rsid w:val="1CD14A84"/>
    <w:rsid w:val="1CD23809"/>
    <w:rsid w:val="1CF73C89"/>
    <w:rsid w:val="1D404B27"/>
    <w:rsid w:val="1D904A85"/>
    <w:rsid w:val="1DB90B08"/>
    <w:rsid w:val="1DE126A1"/>
    <w:rsid w:val="1DE71C83"/>
    <w:rsid w:val="1DFA7FFD"/>
    <w:rsid w:val="1E997D7F"/>
    <w:rsid w:val="1EA10A80"/>
    <w:rsid w:val="1EB34087"/>
    <w:rsid w:val="1EC221A8"/>
    <w:rsid w:val="1EFA398D"/>
    <w:rsid w:val="1F0A37F9"/>
    <w:rsid w:val="1F2D78B4"/>
    <w:rsid w:val="204E77C0"/>
    <w:rsid w:val="208764B1"/>
    <w:rsid w:val="208C5DA8"/>
    <w:rsid w:val="20AA5B8B"/>
    <w:rsid w:val="21240C38"/>
    <w:rsid w:val="21436ADD"/>
    <w:rsid w:val="21980DA2"/>
    <w:rsid w:val="21CB14E0"/>
    <w:rsid w:val="21DC5A1B"/>
    <w:rsid w:val="21F637CA"/>
    <w:rsid w:val="21FF57DD"/>
    <w:rsid w:val="220608A2"/>
    <w:rsid w:val="224C382B"/>
    <w:rsid w:val="22553DD7"/>
    <w:rsid w:val="24796AD2"/>
    <w:rsid w:val="24AC7783"/>
    <w:rsid w:val="24B06455"/>
    <w:rsid w:val="24E07198"/>
    <w:rsid w:val="255D0A7D"/>
    <w:rsid w:val="25A7311B"/>
    <w:rsid w:val="26166770"/>
    <w:rsid w:val="263D0BDA"/>
    <w:rsid w:val="263F54B7"/>
    <w:rsid w:val="26E1728B"/>
    <w:rsid w:val="27700E7B"/>
    <w:rsid w:val="27C86D8B"/>
    <w:rsid w:val="27DB6C1D"/>
    <w:rsid w:val="2885165C"/>
    <w:rsid w:val="297B664F"/>
    <w:rsid w:val="29AF0BEE"/>
    <w:rsid w:val="29CA4A6C"/>
    <w:rsid w:val="29FA4323"/>
    <w:rsid w:val="2A2C6806"/>
    <w:rsid w:val="2A545161"/>
    <w:rsid w:val="2A571F3F"/>
    <w:rsid w:val="2A914B0C"/>
    <w:rsid w:val="2AE007F1"/>
    <w:rsid w:val="2B471CCF"/>
    <w:rsid w:val="2B4E3991"/>
    <w:rsid w:val="2BC06835"/>
    <w:rsid w:val="2BC85445"/>
    <w:rsid w:val="2C2C380E"/>
    <w:rsid w:val="2C6D17BD"/>
    <w:rsid w:val="2CA23219"/>
    <w:rsid w:val="2CBB78C3"/>
    <w:rsid w:val="2CFB12A7"/>
    <w:rsid w:val="2D0A773C"/>
    <w:rsid w:val="2D553B44"/>
    <w:rsid w:val="2D8F4310"/>
    <w:rsid w:val="2D924001"/>
    <w:rsid w:val="2DC6623A"/>
    <w:rsid w:val="2E7240EF"/>
    <w:rsid w:val="2ED86831"/>
    <w:rsid w:val="2F327DC7"/>
    <w:rsid w:val="300B0136"/>
    <w:rsid w:val="305807BF"/>
    <w:rsid w:val="30744C88"/>
    <w:rsid w:val="30C84DA5"/>
    <w:rsid w:val="30F74A85"/>
    <w:rsid w:val="310D6F8C"/>
    <w:rsid w:val="311139B0"/>
    <w:rsid w:val="3117576E"/>
    <w:rsid w:val="31377E36"/>
    <w:rsid w:val="31B511F6"/>
    <w:rsid w:val="31CB0E90"/>
    <w:rsid w:val="324433CA"/>
    <w:rsid w:val="328B75F1"/>
    <w:rsid w:val="330A1518"/>
    <w:rsid w:val="33AE7732"/>
    <w:rsid w:val="3427465D"/>
    <w:rsid w:val="3459395D"/>
    <w:rsid w:val="34F860CC"/>
    <w:rsid w:val="353C0D40"/>
    <w:rsid w:val="35F94F4D"/>
    <w:rsid w:val="35FA1E8E"/>
    <w:rsid w:val="36054F45"/>
    <w:rsid w:val="363C7D46"/>
    <w:rsid w:val="36D10E3B"/>
    <w:rsid w:val="36F868F4"/>
    <w:rsid w:val="37CA40B8"/>
    <w:rsid w:val="387B0503"/>
    <w:rsid w:val="38946C10"/>
    <w:rsid w:val="38E84E99"/>
    <w:rsid w:val="38ED40E0"/>
    <w:rsid w:val="393761A2"/>
    <w:rsid w:val="39966F94"/>
    <w:rsid w:val="3BE74CFB"/>
    <w:rsid w:val="3BF76CF5"/>
    <w:rsid w:val="3C241E9D"/>
    <w:rsid w:val="3C4E552A"/>
    <w:rsid w:val="3C8A5B3C"/>
    <w:rsid w:val="3CD90AC2"/>
    <w:rsid w:val="3D2A703F"/>
    <w:rsid w:val="3D7A32F6"/>
    <w:rsid w:val="3DAC5069"/>
    <w:rsid w:val="3DB153E8"/>
    <w:rsid w:val="3E143094"/>
    <w:rsid w:val="3E815385"/>
    <w:rsid w:val="3E9C3F6D"/>
    <w:rsid w:val="3EEA58E2"/>
    <w:rsid w:val="3F0B538C"/>
    <w:rsid w:val="40A55D13"/>
    <w:rsid w:val="413F7549"/>
    <w:rsid w:val="414B37EA"/>
    <w:rsid w:val="4155078B"/>
    <w:rsid w:val="423A420A"/>
    <w:rsid w:val="42743C64"/>
    <w:rsid w:val="438F6C4E"/>
    <w:rsid w:val="43BE0CE9"/>
    <w:rsid w:val="4425126D"/>
    <w:rsid w:val="44310D62"/>
    <w:rsid w:val="443C4228"/>
    <w:rsid w:val="449A0950"/>
    <w:rsid w:val="44B65D52"/>
    <w:rsid w:val="44C76974"/>
    <w:rsid w:val="44DD6D46"/>
    <w:rsid w:val="44F15EEE"/>
    <w:rsid w:val="45036AF3"/>
    <w:rsid w:val="45A82043"/>
    <w:rsid w:val="469A2D6F"/>
    <w:rsid w:val="46CB631D"/>
    <w:rsid w:val="46F74AB0"/>
    <w:rsid w:val="474433F3"/>
    <w:rsid w:val="47947ED7"/>
    <w:rsid w:val="47E2452F"/>
    <w:rsid w:val="480E7DCE"/>
    <w:rsid w:val="482C66C6"/>
    <w:rsid w:val="48BC1AFB"/>
    <w:rsid w:val="48F278E8"/>
    <w:rsid w:val="49181F0C"/>
    <w:rsid w:val="495F1CBB"/>
    <w:rsid w:val="49610A34"/>
    <w:rsid w:val="498116DD"/>
    <w:rsid w:val="49A90EC0"/>
    <w:rsid w:val="4A325785"/>
    <w:rsid w:val="4AD416BB"/>
    <w:rsid w:val="4B3508D9"/>
    <w:rsid w:val="4B5F601A"/>
    <w:rsid w:val="4B683B54"/>
    <w:rsid w:val="4B9C208F"/>
    <w:rsid w:val="4C8F592C"/>
    <w:rsid w:val="4CEE078A"/>
    <w:rsid w:val="4D0407B1"/>
    <w:rsid w:val="4D083758"/>
    <w:rsid w:val="4D1A4DC3"/>
    <w:rsid w:val="4D2B4583"/>
    <w:rsid w:val="4D5C569C"/>
    <w:rsid w:val="4DB635BA"/>
    <w:rsid w:val="4DDB7AF7"/>
    <w:rsid w:val="4DDD220C"/>
    <w:rsid w:val="4E1235F9"/>
    <w:rsid w:val="4EB17ACC"/>
    <w:rsid w:val="4EDE74E6"/>
    <w:rsid w:val="4EE3501F"/>
    <w:rsid w:val="4F010950"/>
    <w:rsid w:val="4F0176F8"/>
    <w:rsid w:val="4F0973FC"/>
    <w:rsid w:val="4F67728E"/>
    <w:rsid w:val="4F744A86"/>
    <w:rsid w:val="4F8C4C96"/>
    <w:rsid w:val="4F8D6978"/>
    <w:rsid w:val="4FD8605B"/>
    <w:rsid w:val="4FE31C67"/>
    <w:rsid w:val="50125E3D"/>
    <w:rsid w:val="50721F92"/>
    <w:rsid w:val="50BB4726"/>
    <w:rsid w:val="50D75A37"/>
    <w:rsid w:val="50E14FAE"/>
    <w:rsid w:val="51441820"/>
    <w:rsid w:val="51676F82"/>
    <w:rsid w:val="517E4A56"/>
    <w:rsid w:val="51981739"/>
    <w:rsid w:val="51AC496E"/>
    <w:rsid w:val="51FD27B3"/>
    <w:rsid w:val="533B7DA0"/>
    <w:rsid w:val="53AB2485"/>
    <w:rsid w:val="54116ECA"/>
    <w:rsid w:val="54E77826"/>
    <w:rsid w:val="54F72BEF"/>
    <w:rsid w:val="556914AB"/>
    <w:rsid w:val="556D11C4"/>
    <w:rsid w:val="55E85723"/>
    <w:rsid w:val="560E72C6"/>
    <w:rsid w:val="566F49EF"/>
    <w:rsid w:val="568E2D56"/>
    <w:rsid w:val="56CA7469"/>
    <w:rsid w:val="571114B0"/>
    <w:rsid w:val="576330E5"/>
    <w:rsid w:val="577407E9"/>
    <w:rsid w:val="57A161E5"/>
    <w:rsid w:val="57BE71C4"/>
    <w:rsid w:val="57D06362"/>
    <w:rsid w:val="57EA58F1"/>
    <w:rsid w:val="58241607"/>
    <w:rsid w:val="58270D47"/>
    <w:rsid w:val="58391CA0"/>
    <w:rsid w:val="59620848"/>
    <w:rsid w:val="596A704B"/>
    <w:rsid w:val="59771406"/>
    <w:rsid w:val="59791356"/>
    <w:rsid w:val="599F3C1C"/>
    <w:rsid w:val="59AC59D4"/>
    <w:rsid w:val="59B07C21"/>
    <w:rsid w:val="59D226B9"/>
    <w:rsid w:val="5A080774"/>
    <w:rsid w:val="5AC34EEB"/>
    <w:rsid w:val="5AF0321E"/>
    <w:rsid w:val="5B8C76D2"/>
    <w:rsid w:val="5BCF219F"/>
    <w:rsid w:val="5C5514B6"/>
    <w:rsid w:val="5D842CCE"/>
    <w:rsid w:val="5DB21521"/>
    <w:rsid w:val="5DCA41FA"/>
    <w:rsid w:val="5E676132"/>
    <w:rsid w:val="600339F4"/>
    <w:rsid w:val="604E57FA"/>
    <w:rsid w:val="60B41207"/>
    <w:rsid w:val="612859DF"/>
    <w:rsid w:val="619440AC"/>
    <w:rsid w:val="61BF1B9C"/>
    <w:rsid w:val="61FE1B21"/>
    <w:rsid w:val="62650996"/>
    <w:rsid w:val="633A345F"/>
    <w:rsid w:val="63585E05"/>
    <w:rsid w:val="64595B2D"/>
    <w:rsid w:val="64BC6733"/>
    <w:rsid w:val="657E06F2"/>
    <w:rsid w:val="65B304D0"/>
    <w:rsid w:val="65CE3D79"/>
    <w:rsid w:val="662D17CA"/>
    <w:rsid w:val="665E1984"/>
    <w:rsid w:val="67A05FCC"/>
    <w:rsid w:val="690C49DF"/>
    <w:rsid w:val="69141D46"/>
    <w:rsid w:val="6916333E"/>
    <w:rsid w:val="69401815"/>
    <w:rsid w:val="696B5145"/>
    <w:rsid w:val="69A70206"/>
    <w:rsid w:val="6A3824EC"/>
    <w:rsid w:val="6A8C4707"/>
    <w:rsid w:val="6AC74F73"/>
    <w:rsid w:val="6AE502BD"/>
    <w:rsid w:val="6B186E32"/>
    <w:rsid w:val="6B381289"/>
    <w:rsid w:val="6B5451DA"/>
    <w:rsid w:val="6BE70AEA"/>
    <w:rsid w:val="6C285644"/>
    <w:rsid w:val="6DCC3D79"/>
    <w:rsid w:val="6E1954C7"/>
    <w:rsid w:val="6E82642B"/>
    <w:rsid w:val="6EB943C1"/>
    <w:rsid w:val="6EFA39EA"/>
    <w:rsid w:val="6F236228"/>
    <w:rsid w:val="6F5E2077"/>
    <w:rsid w:val="6F825770"/>
    <w:rsid w:val="6F926B42"/>
    <w:rsid w:val="6FDF328B"/>
    <w:rsid w:val="70044571"/>
    <w:rsid w:val="70165DEE"/>
    <w:rsid w:val="70741DA4"/>
    <w:rsid w:val="70791D93"/>
    <w:rsid w:val="714F512A"/>
    <w:rsid w:val="71600062"/>
    <w:rsid w:val="723C0BE8"/>
    <w:rsid w:val="724C3343"/>
    <w:rsid w:val="728F1E7B"/>
    <w:rsid w:val="72B80135"/>
    <w:rsid w:val="72B91C92"/>
    <w:rsid w:val="73203396"/>
    <w:rsid w:val="73493C3B"/>
    <w:rsid w:val="7381392D"/>
    <w:rsid w:val="73946813"/>
    <w:rsid w:val="741416F8"/>
    <w:rsid w:val="75394B7D"/>
    <w:rsid w:val="75463ADF"/>
    <w:rsid w:val="754C0D71"/>
    <w:rsid w:val="7553713F"/>
    <w:rsid w:val="757C5412"/>
    <w:rsid w:val="75974726"/>
    <w:rsid w:val="76575907"/>
    <w:rsid w:val="769B7DFB"/>
    <w:rsid w:val="76DC37DE"/>
    <w:rsid w:val="771334BC"/>
    <w:rsid w:val="778D5550"/>
    <w:rsid w:val="77E10AA1"/>
    <w:rsid w:val="77F1690C"/>
    <w:rsid w:val="78B47B29"/>
    <w:rsid w:val="79167ABD"/>
    <w:rsid w:val="79805488"/>
    <w:rsid w:val="79A731EA"/>
    <w:rsid w:val="7A0A0E0F"/>
    <w:rsid w:val="7A0E7809"/>
    <w:rsid w:val="7A457535"/>
    <w:rsid w:val="7AE4507B"/>
    <w:rsid w:val="7AF62794"/>
    <w:rsid w:val="7B652AE4"/>
    <w:rsid w:val="7BC062FC"/>
    <w:rsid w:val="7BCD6B3E"/>
    <w:rsid w:val="7C8A3331"/>
    <w:rsid w:val="7CB52D00"/>
    <w:rsid w:val="7DC25B19"/>
    <w:rsid w:val="7DE45648"/>
    <w:rsid w:val="7DF848B9"/>
    <w:rsid w:val="7E430F54"/>
    <w:rsid w:val="7ECA0D84"/>
    <w:rsid w:val="7EE84B51"/>
    <w:rsid w:val="7F231262"/>
    <w:rsid w:val="7F412911"/>
    <w:rsid w:val="7F623E68"/>
    <w:rsid w:val="7F6A539F"/>
    <w:rsid w:val="7FB87EFF"/>
    <w:rsid w:val="7FC2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1189</Characters>
  <Lines>0</Lines>
  <Paragraphs>0</Paragraphs>
  <TotalTime>60</TotalTime>
  <ScaleCrop>false</ScaleCrop>
  <LinksUpToDate>false</LinksUpToDate>
  <CharactersWithSpaces>1192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2024-05-23T03:47:00Z</dcterms:created>
  <dc:creator>晋杨林</dc:creator>
  <cp:lastModifiedBy>张煜</cp:lastModifiedBy>
  <cp:lastPrinted>2024-10-29T07:53:00Z</cp:lastPrinted>
  <dcterms:modified xsi:type="dcterms:W3CDTF">2024-10-30T02:56:14Z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F3D0FF9B5E95459CBFE2F44BE4CEF72A_13</vt:lpwstr>
  </property>
</Properties>
</file>