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C281">
      <w:pPr>
        <w:pStyle w:val="4"/>
        <w:bidi w:val="0"/>
        <w:rPr>
          <w:rFonts w:hint="eastAsia"/>
          <w:lang w:val="en-US" w:eastAsia="zh-CN"/>
        </w:rPr>
      </w:pPr>
      <w:r>
        <w:rPr>
          <w:rFonts w:hint="eastAsia"/>
          <w:lang w:val="en-US" w:eastAsia="zh-CN"/>
        </w:rPr>
        <w:t>项目概况：</w:t>
      </w:r>
    </w:p>
    <w:p w14:paraId="7B804944">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本项目为成都市新津区人民医院污水处理运维服务项目。负责医院污水处理站日常运营工作，每日污水量为200m³左右。</w:t>
      </w:r>
    </w:p>
    <w:p w14:paraId="73625A80">
      <w:pPr>
        <w:pStyle w:val="2"/>
        <w:rPr>
          <w:rFonts w:hint="default"/>
          <w:lang w:val="en-US" w:eastAsia="zh-CN"/>
        </w:rPr>
      </w:pPr>
      <w:r>
        <w:rPr>
          <w:rFonts w:hint="eastAsia"/>
          <w:lang w:val="en-US" w:eastAsia="zh-CN"/>
        </w:rPr>
        <w:t>污水处理站工艺流程：调节池—好氧池—沉淀池—消毒池。</w:t>
      </w:r>
    </w:p>
    <w:p w14:paraId="31CCE7F7">
      <w:pPr>
        <w:pStyle w:val="4"/>
        <w:bidi w:val="0"/>
        <w:rPr>
          <w:rFonts w:hint="eastAsia"/>
          <w:lang w:val="en-US" w:eastAsia="zh-CN"/>
        </w:rPr>
      </w:pPr>
      <w:r>
        <w:rPr>
          <w:rFonts w:hint="eastAsia"/>
          <w:lang w:val="en-US" w:eastAsia="zh-CN"/>
        </w:rPr>
        <w:t>服务内容：</w:t>
      </w:r>
      <w:bookmarkStart w:id="0" w:name="_GoBack"/>
      <w:bookmarkEnd w:id="0"/>
    </w:p>
    <w:p w14:paraId="38DF81B6">
      <w:pPr>
        <w:numPr>
          <w:ilvl w:val="0"/>
          <w:numId w:val="2"/>
        </w:numPr>
        <w:rPr>
          <w:rFonts w:hint="eastAsia"/>
          <w:lang w:val="en-US" w:eastAsia="zh-CN"/>
        </w:rPr>
      </w:pPr>
      <w:r>
        <w:rPr>
          <w:rFonts w:hint="eastAsia"/>
          <w:lang w:val="en-US" w:eastAsia="zh-CN"/>
        </w:rPr>
        <w:t>负责医院污水处理站日常水质检测、设备维修保养、资料管理、供应消毒药剂等工作，保障污水处理站正常运行；</w:t>
      </w:r>
    </w:p>
    <w:p w14:paraId="34FAF025">
      <w:pPr>
        <w:pStyle w:val="2"/>
        <w:numPr>
          <w:ilvl w:val="0"/>
          <w:numId w:val="2"/>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负责按医院要求提供CMA认证的第三方水质监测报告；</w:t>
      </w:r>
    </w:p>
    <w:p w14:paraId="57FB7386">
      <w:pPr>
        <w:numPr>
          <w:ilvl w:val="0"/>
          <w:numId w:val="2"/>
        </w:numPr>
        <w:ind w:left="0" w:leftChars="0" w:firstLine="480" w:firstLineChars="200"/>
        <w:rPr>
          <w:rFonts w:hint="eastAsia"/>
          <w:lang w:val="en-US" w:eastAsia="zh-CN"/>
        </w:rPr>
      </w:pPr>
      <w:r>
        <w:rPr>
          <w:rFonts w:hint="eastAsia"/>
          <w:lang w:val="en-US" w:eastAsia="zh-CN"/>
        </w:rPr>
        <w:t>负责站点公示栏、制度牌、安全标识、有限空间相关制度张贴上墙；</w:t>
      </w:r>
    </w:p>
    <w:p w14:paraId="78C59FCD">
      <w:pPr>
        <w:pStyle w:val="2"/>
        <w:numPr>
          <w:ilvl w:val="0"/>
          <w:numId w:val="2"/>
        </w:numPr>
        <w:ind w:left="0" w:leftChars="0" w:firstLine="480" w:firstLineChars="200"/>
        <w:rPr>
          <w:rFonts w:hint="default"/>
          <w:lang w:val="en-US" w:eastAsia="zh-CN"/>
        </w:rPr>
      </w:pPr>
      <w:r>
        <w:rPr>
          <w:rFonts w:hint="eastAsia"/>
          <w:lang w:val="en-US" w:eastAsia="zh-CN"/>
        </w:rPr>
        <w:t>根据应急管理要求的物资；</w:t>
      </w:r>
      <w:r>
        <w:rPr>
          <w:rFonts w:hint="eastAsia"/>
          <w:lang w:val="en-US" w:eastAsia="zh-CN"/>
        </w:rPr>
        <w:tab/>
      </w:r>
    </w:p>
    <w:p w14:paraId="52DA16ED">
      <w:pPr>
        <w:pStyle w:val="4"/>
        <w:bidi w:val="0"/>
        <w:rPr>
          <w:rFonts w:hint="default"/>
          <w:lang w:val="en-US" w:eastAsia="zh-CN"/>
        </w:rPr>
      </w:pPr>
      <w:r>
        <w:rPr>
          <w:rFonts w:hint="eastAsia"/>
          <w:lang w:val="en-US" w:eastAsia="zh-CN"/>
        </w:rPr>
        <w:t>服务要求：</w:t>
      </w:r>
    </w:p>
    <w:p w14:paraId="5700C4C4">
      <w:pPr>
        <w:numPr>
          <w:ilvl w:val="0"/>
          <w:numId w:val="3"/>
        </w:numPr>
        <w:rPr>
          <w:rFonts w:hint="eastAsia"/>
          <w:lang w:val="en-US" w:eastAsia="zh-CN"/>
        </w:rPr>
      </w:pPr>
      <w:r>
        <w:rPr>
          <w:rFonts w:hint="eastAsia"/>
          <w:lang w:val="en-US" w:eastAsia="zh-CN"/>
        </w:rPr>
        <w:t>人员配置要求：至少配置驻点运营人员1名（24小时）、运营管家1名、技术人员1名（24小时）、技术管理人员1名；拟投入的技术管理人员需具备环境设施运营化验监测工证书或环境设施运营污水处理工证书（提供相应证书复印件并加盖公章有效）。</w:t>
      </w:r>
    </w:p>
    <w:p w14:paraId="01353CD4">
      <w:pPr>
        <w:pStyle w:val="2"/>
        <w:numPr>
          <w:ilvl w:val="0"/>
          <w:numId w:val="3"/>
        </w:numPr>
        <w:rPr>
          <w:rFonts w:hint="default"/>
          <w:lang w:val="en-US" w:eastAsia="zh-CN"/>
        </w:rPr>
      </w:pPr>
      <w:r>
        <w:rPr>
          <w:rFonts w:hint="eastAsia"/>
          <w:lang w:val="en-US" w:eastAsia="zh-CN"/>
        </w:rPr>
        <w:t>日常人工水质监测每日至少2次，污水站巡查每日至少6次，设备保养每月至少1次。</w:t>
      </w:r>
    </w:p>
    <w:p w14:paraId="00F4FEAF">
      <w:pPr>
        <w:pStyle w:val="2"/>
        <w:numPr>
          <w:ilvl w:val="0"/>
          <w:numId w:val="3"/>
        </w:numPr>
        <w:ind w:left="0" w:leftChars="0" w:firstLine="480" w:firstLineChars="200"/>
        <w:rPr>
          <w:rFonts w:hint="default"/>
          <w:lang w:val="en-US" w:eastAsia="zh-CN"/>
        </w:rPr>
      </w:pPr>
      <w:r>
        <w:rPr>
          <w:rFonts w:hint="eastAsia"/>
          <w:lang w:val="en-US" w:eastAsia="zh-CN"/>
        </w:rPr>
        <w:t>设备保养和维修中，单个设备配件价格在1000 元或 1000元以下的，由运营方承担；单个设备配件价格在1000元以上的，由院方承担</w:t>
      </w:r>
      <w:r>
        <w:rPr>
          <w:rFonts w:hint="default"/>
          <w:lang w:val="en-US" w:eastAsia="zh-CN"/>
        </w:rPr>
        <w:t>；</w:t>
      </w:r>
    </w:p>
    <w:p w14:paraId="3E9FC2E8">
      <w:pPr>
        <w:pStyle w:val="2"/>
        <w:numPr>
          <w:ilvl w:val="0"/>
          <w:numId w:val="3"/>
        </w:numPr>
        <w:ind w:left="0" w:leftChars="0" w:firstLine="480" w:firstLineChars="200"/>
        <w:rPr>
          <w:rFonts w:hint="default"/>
          <w:lang w:val="en-US" w:eastAsia="zh-CN"/>
        </w:rPr>
      </w:pPr>
      <w:r>
        <w:rPr>
          <w:rFonts w:hint="eastAsia"/>
          <w:lang w:val="en-US" w:eastAsia="zh-CN"/>
        </w:rPr>
        <w:t>负责废气处理设备装置辅材蜂窝活性炭、活性炭棉、UV灯组、</w:t>
      </w:r>
      <w:r>
        <w:rPr>
          <w:rFonts w:hint="eastAsia"/>
          <w:highlight w:val="none"/>
          <w:lang w:val="en-US" w:eastAsia="zh-CN"/>
        </w:rPr>
        <w:t>镇流</w:t>
      </w:r>
      <w:r>
        <w:rPr>
          <w:rFonts w:hint="eastAsia"/>
          <w:lang w:val="en-US" w:eastAsia="zh-CN"/>
        </w:rPr>
        <w:t>器更换；</w:t>
      </w:r>
    </w:p>
    <w:p w14:paraId="3593A746">
      <w:pPr>
        <w:numPr>
          <w:ilvl w:val="0"/>
          <w:numId w:val="3"/>
        </w:numPr>
        <w:ind w:left="0" w:leftChars="0" w:firstLine="480" w:firstLineChars="200"/>
        <w:rPr>
          <w:rFonts w:hint="eastAsia"/>
          <w:lang w:val="en-US" w:eastAsia="zh-CN"/>
        </w:rPr>
      </w:pPr>
      <w:r>
        <w:rPr>
          <w:rFonts w:hint="eastAsia"/>
          <w:lang w:val="en-US" w:eastAsia="zh-CN"/>
        </w:rPr>
        <w:t>提供污水站污水消毒所用次氯酸钠消毒药剂，并提供批次检测报告、合格证等相关资料；</w:t>
      </w:r>
    </w:p>
    <w:p w14:paraId="02D40402">
      <w:pPr>
        <w:pStyle w:val="2"/>
        <w:rPr>
          <w:rFonts w:hint="default"/>
          <w:lang w:val="en-US" w:eastAsia="zh-CN"/>
        </w:rPr>
      </w:pPr>
      <w:r>
        <w:rPr>
          <w:rFonts w:hint="eastAsia"/>
          <w:lang w:val="en-US" w:eastAsia="zh-CN"/>
        </w:rPr>
        <w:t>5、根据排污许可证环境管理台账记录要求建立污水站资料库，负责数据记录及资料整理保管工作；</w:t>
      </w:r>
    </w:p>
    <w:p w14:paraId="1D479260">
      <w:pPr>
        <w:pStyle w:val="2"/>
        <w:numPr>
          <w:ilvl w:val="0"/>
          <w:numId w:val="3"/>
        </w:numPr>
        <w:ind w:left="0" w:leftChars="0" w:firstLine="480" w:firstLineChars="200"/>
        <w:rPr>
          <w:rFonts w:hint="eastAsia"/>
          <w:lang w:val="en-US" w:eastAsia="zh-CN"/>
        </w:rPr>
      </w:pPr>
      <w:r>
        <w:rPr>
          <w:rFonts w:hint="eastAsia"/>
          <w:lang w:val="en-US" w:eastAsia="zh-CN"/>
        </w:rPr>
        <w:t>在发生故障及其他紧急情况时，应在6小时内解决问题；</w:t>
      </w:r>
    </w:p>
    <w:p w14:paraId="52652E06">
      <w:pPr>
        <w:pStyle w:val="2"/>
        <w:numPr>
          <w:ilvl w:val="0"/>
          <w:numId w:val="3"/>
        </w:numPr>
        <w:ind w:left="0" w:leftChars="0" w:firstLine="480" w:firstLineChars="200"/>
        <w:rPr>
          <w:rFonts w:hint="default"/>
          <w:color w:val="auto"/>
          <w:lang w:val="en-US" w:eastAsia="zh-CN"/>
        </w:rPr>
      </w:pPr>
      <w:r>
        <w:rPr>
          <w:rFonts w:hint="eastAsia"/>
          <w:lang w:val="en-US" w:eastAsia="zh-CN"/>
        </w:rPr>
        <w:t>排放的污水</w:t>
      </w:r>
      <w:r>
        <w:rPr>
          <w:rFonts w:hint="default"/>
          <w:lang w:val="en-US" w:eastAsia="zh-CN"/>
        </w:rPr>
        <w:t>水质满足《医疗机构水污染排放标准》(GB18466-2005)表2中的预处理排放标准，</w:t>
      </w:r>
      <w:r>
        <w:rPr>
          <w:rFonts w:hint="eastAsia"/>
          <w:color w:val="auto"/>
          <w:lang w:val="en-US" w:eastAsia="zh-CN"/>
        </w:rPr>
        <w:t>如果污水超标或其他事故造成环保部门罚款，由运营方承担全部责任；</w:t>
      </w:r>
    </w:p>
    <w:p w14:paraId="6CE910B1">
      <w:pPr>
        <w:pStyle w:val="2"/>
        <w:numPr>
          <w:ilvl w:val="0"/>
          <w:numId w:val="3"/>
        </w:numPr>
        <w:ind w:left="0" w:leftChars="0" w:firstLine="480" w:firstLineChars="200"/>
        <w:rPr>
          <w:rFonts w:hint="default"/>
          <w:color w:val="auto"/>
          <w:lang w:val="en-US" w:eastAsia="zh-CN"/>
        </w:rPr>
      </w:pPr>
      <w:r>
        <w:rPr>
          <w:rFonts w:hint="eastAsia"/>
          <w:color w:val="auto"/>
          <w:lang w:val="en-US" w:eastAsia="zh-CN"/>
        </w:rPr>
        <w:t>报告频次及要求：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28"/>
        <w:gridCol w:w="1702"/>
        <w:gridCol w:w="1951"/>
        <w:gridCol w:w="2411"/>
      </w:tblGrid>
      <w:tr w14:paraId="2310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7461D4FB">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序号</w:t>
            </w:r>
          </w:p>
        </w:tc>
        <w:tc>
          <w:tcPr>
            <w:tcW w:w="1228" w:type="dxa"/>
          </w:tcPr>
          <w:p w14:paraId="6B1A7EAB">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监测频次</w:t>
            </w:r>
          </w:p>
        </w:tc>
        <w:tc>
          <w:tcPr>
            <w:tcW w:w="1702" w:type="dxa"/>
          </w:tcPr>
          <w:p w14:paraId="4FD26F60">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取样点位</w:t>
            </w:r>
          </w:p>
        </w:tc>
        <w:tc>
          <w:tcPr>
            <w:tcW w:w="1951" w:type="dxa"/>
          </w:tcPr>
          <w:p w14:paraId="51307DA8">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检测项目</w:t>
            </w:r>
          </w:p>
        </w:tc>
        <w:tc>
          <w:tcPr>
            <w:tcW w:w="2411" w:type="dxa"/>
          </w:tcPr>
          <w:p w14:paraId="3BEA4DB3">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检测要求</w:t>
            </w:r>
          </w:p>
        </w:tc>
      </w:tr>
      <w:tr w14:paraId="4464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65D0AC1F">
            <w:pPr>
              <w:numPr>
                <w:ilvl w:val="0"/>
                <w:numId w:val="0"/>
              </w:numPr>
              <w:spacing w:line="720" w:lineRule="auto"/>
              <w:jc w:val="center"/>
              <w:rPr>
                <w:rFonts w:hint="eastAsia"/>
                <w:color w:val="auto"/>
                <w:sz w:val="24"/>
                <w:szCs w:val="22"/>
                <w:vertAlign w:val="baseline"/>
                <w:lang w:val="en-US" w:eastAsia="zh-CN"/>
              </w:rPr>
            </w:pPr>
          </w:p>
          <w:p w14:paraId="3A32F390">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1</w:t>
            </w:r>
          </w:p>
        </w:tc>
        <w:tc>
          <w:tcPr>
            <w:tcW w:w="1228" w:type="dxa"/>
          </w:tcPr>
          <w:p w14:paraId="51F628EA">
            <w:pPr>
              <w:numPr>
                <w:ilvl w:val="0"/>
                <w:numId w:val="0"/>
              </w:numPr>
              <w:spacing w:line="720" w:lineRule="auto"/>
              <w:jc w:val="center"/>
              <w:rPr>
                <w:rFonts w:hint="eastAsia"/>
                <w:color w:val="auto"/>
                <w:sz w:val="24"/>
                <w:szCs w:val="22"/>
                <w:vertAlign w:val="baseline"/>
                <w:lang w:val="en-US" w:eastAsia="zh-CN"/>
              </w:rPr>
            </w:pPr>
          </w:p>
          <w:p w14:paraId="08D0AEA7">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1次/季度</w:t>
            </w:r>
          </w:p>
        </w:tc>
        <w:tc>
          <w:tcPr>
            <w:tcW w:w="1702" w:type="dxa"/>
          </w:tcPr>
          <w:p w14:paraId="3732018B">
            <w:pPr>
              <w:keepNext w:val="0"/>
              <w:keepLines w:val="0"/>
              <w:widowControl/>
              <w:suppressLineNumbers w:val="0"/>
              <w:jc w:val="left"/>
              <w:rPr>
                <w:rFonts w:hint="eastAsia" w:ascii="宋体" w:hAnsi="宋体" w:cs="宋体"/>
                <w:color w:val="auto"/>
                <w:kern w:val="0"/>
                <w:sz w:val="24"/>
                <w:szCs w:val="24"/>
                <w:highlight w:val="none"/>
                <w:lang w:val="en-US" w:eastAsia="zh-CN"/>
              </w:rPr>
            </w:pPr>
          </w:p>
          <w:p w14:paraId="26BD912D">
            <w:pPr>
              <w:keepNext w:val="0"/>
              <w:keepLines w:val="0"/>
              <w:widowControl/>
              <w:suppressLineNumbers w:val="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废水排放口</w:t>
            </w:r>
          </w:p>
        </w:tc>
        <w:tc>
          <w:tcPr>
            <w:tcW w:w="1951" w:type="dxa"/>
          </w:tcPr>
          <w:p w14:paraId="3B61A009">
            <w:pPr>
              <w:keepNext w:val="0"/>
              <w:keepLines w:val="0"/>
              <w:widowControl/>
              <w:suppressLineNumbers w:val="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PH、悬浮物、化学需氧量、五日生化需氧量、氨氮、总余氯、粪大肠菌群、阴离子表面活性剂、总磷（以P计）、石油类、动植物油、挥发酚、沙门氏菌、志贺氏菌。</w:t>
            </w:r>
          </w:p>
          <w:p w14:paraId="6F2B5727">
            <w:pPr>
              <w:keepNext w:val="0"/>
              <w:keepLines w:val="0"/>
              <w:widowControl/>
              <w:suppressLineNumbers w:val="0"/>
              <w:jc w:val="left"/>
              <w:rPr>
                <w:rFonts w:hint="default" w:ascii="宋体" w:hAnsi="宋体" w:cs="宋体"/>
                <w:color w:val="auto"/>
                <w:kern w:val="0"/>
                <w:sz w:val="24"/>
                <w:szCs w:val="24"/>
                <w:highlight w:val="none"/>
                <w:lang w:val="en-US" w:eastAsia="zh-CN"/>
              </w:rPr>
            </w:pPr>
          </w:p>
        </w:tc>
        <w:tc>
          <w:tcPr>
            <w:tcW w:w="2411" w:type="dxa"/>
          </w:tcPr>
          <w:p w14:paraId="6DCB7ABC">
            <w:pPr>
              <w:numPr>
                <w:ilvl w:val="0"/>
                <w:numId w:val="0"/>
              </w:numPr>
              <w:jc w:val="left"/>
              <w:rPr>
                <w:rFonts w:hint="default"/>
                <w:b w:val="0"/>
                <w:bCs w:val="0"/>
                <w:color w:val="auto"/>
                <w:sz w:val="24"/>
                <w:szCs w:val="22"/>
                <w:vertAlign w:val="baseline"/>
                <w:lang w:val="en-US" w:eastAsia="zh-CN"/>
              </w:rPr>
            </w:pPr>
            <w:r>
              <w:rPr>
                <w:rFonts w:hint="eastAsia"/>
                <w:b w:val="0"/>
                <w:bCs w:val="0"/>
                <w:color w:val="auto"/>
                <w:sz w:val="24"/>
                <w:szCs w:val="22"/>
                <w:vertAlign w:val="baseline"/>
                <w:lang w:val="en-US" w:eastAsia="zh-CN"/>
              </w:rPr>
              <w:t>按照相关生态环境标准确定</w:t>
            </w:r>
          </w:p>
        </w:tc>
      </w:tr>
      <w:tr w14:paraId="73C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1D38DE52">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2</w:t>
            </w:r>
          </w:p>
        </w:tc>
        <w:tc>
          <w:tcPr>
            <w:tcW w:w="1228" w:type="dxa"/>
          </w:tcPr>
          <w:p w14:paraId="794A355F">
            <w:pPr>
              <w:numPr>
                <w:ilvl w:val="0"/>
                <w:numId w:val="0"/>
              </w:numPr>
              <w:spacing w:line="720" w:lineRule="auto"/>
              <w:jc w:val="center"/>
              <w:rPr>
                <w:rFonts w:hint="default"/>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1次/季度</w:t>
            </w:r>
          </w:p>
        </w:tc>
        <w:tc>
          <w:tcPr>
            <w:tcW w:w="1702" w:type="dxa"/>
          </w:tcPr>
          <w:p w14:paraId="5098A737">
            <w:pPr>
              <w:numPr>
                <w:ilvl w:val="0"/>
                <w:numId w:val="0"/>
              </w:numPr>
              <w:spacing w:line="720" w:lineRule="auto"/>
              <w:jc w:val="center"/>
              <w:rPr>
                <w:rFonts w:hint="default"/>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污水站周界</w:t>
            </w:r>
          </w:p>
        </w:tc>
        <w:tc>
          <w:tcPr>
            <w:tcW w:w="1951" w:type="dxa"/>
          </w:tcPr>
          <w:p w14:paraId="1137B206">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噪音</w:t>
            </w:r>
          </w:p>
        </w:tc>
        <w:tc>
          <w:tcPr>
            <w:tcW w:w="2411" w:type="dxa"/>
          </w:tcPr>
          <w:p w14:paraId="727A33F0">
            <w:pPr>
              <w:numPr>
                <w:ilvl w:val="0"/>
                <w:numId w:val="0"/>
              </w:numPr>
              <w:jc w:val="left"/>
              <w:rPr>
                <w:rFonts w:hint="eastAsia"/>
                <w:b w:val="0"/>
                <w:bCs w:val="0"/>
                <w:color w:val="000000" w:themeColor="text1"/>
                <w:sz w:val="24"/>
                <w:szCs w:val="22"/>
                <w:vertAlign w:val="baseline"/>
                <w:lang w:val="en-US" w:eastAsia="zh-CN"/>
                <w14:textFill>
                  <w14:solidFill>
                    <w14:schemeClr w14:val="tx1"/>
                  </w14:solidFill>
                </w14:textFill>
              </w:rPr>
            </w:pPr>
            <w:r>
              <w:rPr>
                <w:rFonts w:hint="eastAsia"/>
                <w:b w:val="0"/>
                <w:bCs w:val="0"/>
                <w:color w:val="000000" w:themeColor="text1"/>
                <w:sz w:val="24"/>
                <w:szCs w:val="22"/>
                <w:vertAlign w:val="baseline"/>
                <w:lang w:val="en-US" w:eastAsia="zh-CN"/>
                <w14:textFill>
                  <w14:solidFill>
                    <w14:schemeClr w14:val="tx1"/>
                  </w14:solidFill>
                </w14:textFill>
              </w:rPr>
              <w:t>按照相关生态环境标准确定</w:t>
            </w:r>
          </w:p>
        </w:tc>
      </w:tr>
      <w:tr w14:paraId="4487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053683E1">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3</w:t>
            </w:r>
          </w:p>
        </w:tc>
        <w:tc>
          <w:tcPr>
            <w:tcW w:w="1228" w:type="dxa"/>
          </w:tcPr>
          <w:p w14:paraId="07A3152E">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1次/月度</w:t>
            </w:r>
          </w:p>
        </w:tc>
        <w:tc>
          <w:tcPr>
            <w:tcW w:w="1702" w:type="dxa"/>
          </w:tcPr>
          <w:p w14:paraId="1730AE1C">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污水站内</w:t>
            </w:r>
          </w:p>
        </w:tc>
        <w:tc>
          <w:tcPr>
            <w:tcW w:w="1951" w:type="dxa"/>
          </w:tcPr>
          <w:p w14:paraId="74CD4954">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巡检报告</w:t>
            </w:r>
          </w:p>
        </w:tc>
        <w:tc>
          <w:tcPr>
            <w:tcW w:w="2411" w:type="dxa"/>
          </w:tcPr>
          <w:p w14:paraId="712CC223">
            <w:pPr>
              <w:numPr>
                <w:ilvl w:val="0"/>
                <w:numId w:val="0"/>
              </w:numPr>
              <w:jc w:val="left"/>
              <w:rPr>
                <w:rFonts w:hint="eastAsia"/>
                <w:b w:val="0"/>
                <w:bCs w:val="0"/>
                <w:color w:val="000000" w:themeColor="text1"/>
                <w:sz w:val="24"/>
                <w:szCs w:val="22"/>
                <w:vertAlign w:val="baseline"/>
                <w:lang w:val="en-US" w:eastAsia="zh-CN"/>
                <w14:textFill>
                  <w14:solidFill>
                    <w14:schemeClr w14:val="tx1"/>
                  </w14:solidFill>
                </w14:textFill>
              </w:rPr>
            </w:pPr>
            <w:r>
              <w:rPr>
                <w:rFonts w:hint="eastAsia"/>
                <w:b w:val="0"/>
                <w:bCs w:val="0"/>
                <w:color w:val="000000" w:themeColor="text1"/>
                <w:sz w:val="24"/>
                <w:szCs w:val="22"/>
                <w:vertAlign w:val="baseline"/>
                <w:lang w:val="en-US" w:eastAsia="zh-CN"/>
                <w14:textFill>
                  <w14:solidFill>
                    <w14:schemeClr w14:val="tx1"/>
                  </w14:solidFill>
                </w14:textFill>
              </w:rPr>
              <w:t>按照相关管理规范标准确定</w:t>
            </w:r>
          </w:p>
        </w:tc>
      </w:tr>
    </w:tbl>
    <w:p w14:paraId="12EAB9E7">
      <w:pPr>
        <w:numPr>
          <w:ilvl w:val="0"/>
          <w:numId w:val="3"/>
        </w:numPr>
        <w:rPr>
          <w:rFonts w:hint="default"/>
          <w:lang w:val="en-US" w:eastAsia="zh-CN"/>
        </w:rPr>
      </w:pPr>
      <w:r>
        <w:rPr>
          <w:rFonts w:hint="eastAsia"/>
          <w:lang w:val="en-US" w:eastAsia="zh-CN"/>
        </w:rPr>
        <w:t>在污水站配置人员卫生防护等用品。</w:t>
      </w:r>
    </w:p>
    <w:p w14:paraId="4E0355D6">
      <w:pPr>
        <w:numPr>
          <w:ilvl w:val="0"/>
          <w:numId w:val="3"/>
        </w:numPr>
        <w:rPr>
          <w:rFonts w:hint="default"/>
          <w:lang w:val="en-US" w:eastAsia="zh-CN"/>
        </w:rPr>
      </w:pPr>
      <w:r>
        <w:rPr>
          <w:rFonts w:hint="eastAsia"/>
          <w:lang w:val="en-US" w:eastAsia="zh-CN"/>
        </w:rPr>
        <w:t>负责协助院方迎检、填报资料、安全培训等工作。</w:t>
      </w:r>
    </w:p>
    <w:p w14:paraId="1FAB4186">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01CD4"/>
    <w:multiLevelType w:val="singleLevel"/>
    <w:tmpl w:val="81201CD4"/>
    <w:lvl w:ilvl="0" w:tentative="0">
      <w:start w:val="1"/>
      <w:numFmt w:val="decimal"/>
      <w:suff w:val="nothing"/>
      <w:lvlText w:val="%1、"/>
      <w:lvlJc w:val="left"/>
    </w:lvl>
  </w:abstractNum>
  <w:abstractNum w:abstractNumId="1">
    <w:nsid w:val="9827A59F"/>
    <w:multiLevelType w:val="singleLevel"/>
    <w:tmpl w:val="9827A59F"/>
    <w:lvl w:ilvl="0" w:tentative="0">
      <w:start w:val="1"/>
      <w:numFmt w:val="decimal"/>
      <w:suff w:val="nothing"/>
      <w:lvlText w:val="%1、"/>
      <w:lvlJc w:val="left"/>
    </w:lvl>
  </w:abstractNum>
  <w:abstractNum w:abstractNumId="2">
    <w:nsid w:val="A265C033"/>
    <w:multiLevelType w:val="multilevel"/>
    <w:tmpl w:val="A265C033"/>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OGU1MWMwYTM5NTc4MGRiNjk4YmExMzIwMjNlYjgifQ=="/>
  </w:docVars>
  <w:rsids>
    <w:rsidRoot w:val="00000000"/>
    <w:rsid w:val="003227E4"/>
    <w:rsid w:val="00C823C4"/>
    <w:rsid w:val="015D7FC1"/>
    <w:rsid w:val="01FD1C94"/>
    <w:rsid w:val="02747CC9"/>
    <w:rsid w:val="02DC3F04"/>
    <w:rsid w:val="03317EEE"/>
    <w:rsid w:val="03A13D62"/>
    <w:rsid w:val="03B44E81"/>
    <w:rsid w:val="03F96F90"/>
    <w:rsid w:val="04014DF7"/>
    <w:rsid w:val="049B2A91"/>
    <w:rsid w:val="04F56D67"/>
    <w:rsid w:val="053B2B2C"/>
    <w:rsid w:val="064C720C"/>
    <w:rsid w:val="069260DA"/>
    <w:rsid w:val="06B6287D"/>
    <w:rsid w:val="06E8225E"/>
    <w:rsid w:val="07C74A87"/>
    <w:rsid w:val="08DD2996"/>
    <w:rsid w:val="09C05037"/>
    <w:rsid w:val="0A450FB4"/>
    <w:rsid w:val="0A871EF8"/>
    <w:rsid w:val="0B1723EB"/>
    <w:rsid w:val="0B1F54CD"/>
    <w:rsid w:val="0BAA6559"/>
    <w:rsid w:val="0BDC1F13"/>
    <w:rsid w:val="0C411CBF"/>
    <w:rsid w:val="0C7822E7"/>
    <w:rsid w:val="0CD363D2"/>
    <w:rsid w:val="0D0363F1"/>
    <w:rsid w:val="0D961F8A"/>
    <w:rsid w:val="0E361AFD"/>
    <w:rsid w:val="0F3379B3"/>
    <w:rsid w:val="0F4271F8"/>
    <w:rsid w:val="10617DB4"/>
    <w:rsid w:val="11CE710E"/>
    <w:rsid w:val="12505D75"/>
    <w:rsid w:val="12823E66"/>
    <w:rsid w:val="13E4509A"/>
    <w:rsid w:val="15556541"/>
    <w:rsid w:val="157A5DD8"/>
    <w:rsid w:val="15925FB2"/>
    <w:rsid w:val="15D53161"/>
    <w:rsid w:val="16E25A2F"/>
    <w:rsid w:val="17426D8B"/>
    <w:rsid w:val="177972A6"/>
    <w:rsid w:val="183304C2"/>
    <w:rsid w:val="187442FD"/>
    <w:rsid w:val="193006AE"/>
    <w:rsid w:val="1A455FF1"/>
    <w:rsid w:val="1A8E2591"/>
    <w:rsid w:val="1AAB1319"/>
    <w:rsid w:val="1AC437A4"/>
    <w:rsid w:val="1B016C13"/>
    <w:rsid w:val="1B876136"/>
    <w:rsid w:val="1C2829E7"/>
    <w:rsid w:val="1C9F24B5"/>
    <w:rsid w:val="1CD14A84"/>
    <w:rsid w:val="1CD23809"/>
    <w:rsid w:val="1CF73C89"/>
    <w:rsid w:val="1D404B27"/>
    <w:rsid w:val="1D904A85"/>
    <w:rsid w:val="1DB90B08"/>
    <w:rsid w:val="1DE71C83"/>
    <w:rsid w:val="1DFA7FFD"/>
    <w:rsid w:val="1E997D7F"/>
    <w:rsid w:val="1EA10A80"/>
    <w:rsid w:val="1EB34087"/>
    <w:rsid w:val="1EC221A8"/>
    <w:rsid w:val="1EFA398D"/>
    <w:rsid w:val="1F0A37F9"/>
    <w:rsid w:val="1F2D78B4"/>
    <w:rsid w:val="204E77C0"/>
    <w:rsid w:val="208764B1"/>
    <w:rsid w:val="208C5DA8"/>
    <w:rsid w:val="20AA5B8B"/>
    <w:rsid w:val="21240C38"/>
    <w:rsid w:val="21436ADD"/>
    <w:rsid w:val="21980DA2"/>
    <w:rsid w:val="21CB14E0"/>
    <w:rsid w:val="21DC5A1B"/>
    <w:rsid w:val="21F637CA"/>
    <w:rsid w:val="21FF57DD"/>
    <w:rsid w:val="220608A2"/>
    <w:rsid w:val="224C382B"/>
    <w:rsid w:val="22553DD7"/>
    <w:rsid w:val="24796AD2"/>
    <w:rsid w:val="24AC7783"/>
    <w:rsid w:val="24B06455"/>
    <w:rsid w:val="24E07198"/>
    <w:rsid w:val="25A7311B"/>
    <w:rsid w:val="26166770"/>
    <w:rsid w:val="263D0BDA"/>
    <w:rsid w:val="263F54B7"/>
    <w:rsid w:val="26E1728B"/>
    <w:rsid w:val="27700E7B"/>
    <w:rsid w:val="27C86D8B"/>
    <w:rsid w:val="27DB6C1D"/>
    <w:rsid w:val="2885165C"/>
    <w:rsid w:val="297B664F"/>
    <w:rsid w:val="29AF0BEE"/>
    <w:rsid w:val="29CA4A6C"/>
    <w:rsid w:val="2A2C6806"/>
    <w:rsid w:val="2A545161"/>
    <w:rsid w:val="2A571F3F"/>
    <w:rsid w:val="2A914B0C"/>
    <w:rsid w:val="2AE007F1"/>
    <w:rsid w:val="2B471CCF"/>
    <w:rsid w:val="2B4E3991"/>
    <w:rsid w:val="2BC85445"/>
    <w:rsid w:val="2C2C380E"/>
    <w:rsid w:val="2C6D17BD"/>
    <w:rsid w:val="2CA23219"/>
    <w:rsid w:val="2CBB78C3"/>
    <w:rsid w:val="2CFB12A7"/>
    <w:rsid w:val="2D0A773C"/>
    <w:rsid w:val="2D553B44"/>
    <w:rsid w:val="2D8F4310"/>
    <w:rsid w:val="2DC6623A"/>
    <w:rsid w:val="2E7240EF"/>
    <w:rsid w:val="2ED86831"/>
    <w:rsid w:val="2F327DC7"/>
    <w:rsid w:val="300B0136"/>
    <w:rsid w:val="305807BF"/>
    <w:rsid w:val="30744C88"/>
    <w:rsid w:val="30C84DA5"/>
    <w:rsid w:val="30F74A85"/>
    <w:rsid w:val="310D6F8C"/>
    <w:rsid w:val="311139B0"/>
    <w:rsid w:val="3117576E"/>
    <w:rsid w:val="31377E36"/>
    <w:rsid w:val="31B511F6"/>
    <w:rsid w:val="31CB0E90"/>
    <w:rsid w:val="324433CA"/>
    <w:rsid w:val="328B75F1"/>
    <w:rsid w:val="330A1518"/>
    <w:rsid w:val="33AE7732"/>
    <w:rsid w:val="3427465D"/>
    <w:rsid w:val="3459395D"/>
    <w:rsid w:val="34F860CC"/>
    <w:rsid w:val="353C0D40"/>
    <w:rsid w:val="35F94F4D"/>
    <w:rsid w:val="35FA1E8E"/>
    <w:rsid w:val="36D10E3B"/>
    <w:rsid w:val="36F868F4"/>
    <w:rsid w:val="37CA40B8"/>
    <w:rsid w:val="387B0503"/>
    <w:rsid w:val="38946C10"/>
    <w:rsid w:val="38E84E99"/>
    <w:rsid w:val="38ED40E0"/>
    <w:rsid w:val="39966F94"/>
    <w:rsid w:val="3BE74CFB"/>
    <w:rsid w:val="3BF76CF5"/>
    <w:rsid w:val="3C241E9D"/>
    <w:rsid w:val="3C4E552A"/>
    <w:rsid w:val="3C8A5B3C"/>
    <w:rsid w:val="3CD90AC2"/>
    <w:rsid w:val="3D2A703F"/>
    <w:rsid w:val="3D7A32F6"/>
    <w:rsid w:val="3DAC5069"/>
    <w:rsid w:val="3DB153E8"/>
    <w:rsid w:val="3E143094"/>
    <w:rsid w:val="3E9C3F6D"/>
    <w:rsid w:val="3EEA58E2"/>
    <w:rsid w:val="3F0B538C"/>
    <w:rsid w:val="40A55D13"/>
    <w:rsid w:val="413F7549"/>
    <w:rsid w:val="414B37EA"/>
    <w:rsid w:val="4155078B"/>
    <w:rsid w:val="423A420A"/>
    <w:rsid w:val="42743C64"/>
    <w:rsid w:val="438F6C4E"/>
    <w:rsid w:val="43BE0CE9"/>
    <w:rsid w:val="4425126D"/>
    <w:rsid w:val="44310D62"/>
    <w:rsid w:val="443C4228"/>
    <w:rsid w:val="449A0950"/>
    <w:rsid w:val="44B65D52"/>
    <w:rsid w:val="44DD6D46"/>
    <w:rsid w:val="44F15EEE"/>
    <w:rsid w:val="45036AF3"/>
    <w:rsid w:val="45A82043"/>
    <w:rsid w:val="469A2D6F"/>
    <w:rsid w:val="46CB631D"/>
    <w:rsid w:val="46F74AB0"/>
    <w:rsid w:val="474433F3"/>
    <w:rsid w:val="47947ED7"/>
    <w:rsid w:val="47E2452F"/>
    <w:rsid w:val="480E7DCE"/>
    <w:rsid w:val="482C66C6"/>
    <w:rsid w:val="48BC1AFB"/>
    <w:rsid w:val="48F278E8"/>
    <w:rsid w:val="49181F0C"/>
    <w:rsid w:val="49610A34"/>
    <w:rsid w:val="498116DD"/>
    <w:rsid w:val="49A90EC0"/>
    <w:rsid w:val="4A325785"/>
    <w:rsid w:val="4AD416BB"/>
    <w:rsid w:val="4B3508D9"/>
    <w:rsid w:val="4B5F601A"/>
    <w:rsid w:val="4B683B54"/>
    <w:rsid w:val="4B9C208F"/>
    <w:rsid w:val="4C8F592C"/>
    <w:rsid w:val="4CEE078A"/>
    <w:rsid w:val="4D0407B1"/>
    <w:rsid w:val="4D083758"/>
    <w:rsid w:val="4D1A4DC3"/>
    <w:rsid w:val="4D2B4583"/>
    <w:rsid w:val="4D5C569C"/>
    <w:rsid w:val="4DB635BA"/>
    <w:rsid w:val="4DDB7AF7"/>
    <w:rsid w:val="4DDD220C"/>
    <w:rsid w:val="4E1235F9"/>
    <w:rsid w:val="4EB17ACC"/>
    <w:rsid w:val="4EDE74E6"/>
    <w:rsid w:val="4EE3501F"/>
    <w:rsid w:val="4F010950"/>
    <w:rsid w:val="4F0176F8"/>
    <w:rsid w:val="4F0973FC"/>
    <w:rsid w:val="4F67728E"/>
    <w:rsid w:val="4F744A86"/>
    <w:rsid w:val="4F8C4C96"/>
    <w:rsid w:val="4F8D6978"/>
    <w:rsid w:val="4FD8605B"/>
    <w:rsid w:val="4FE31C67"/>
    <w:rsid w:val="50125E3D"/>
    <w:rsid w:val="50721F92"/>
    <w:rsid w:val="50BB4726"/>
    <w:rsid w:val="50D75A37"/>
    <w:rsid w:val="51441820"/>
    <w:rsid w:val="51676F82"/>
    <w:rsid w:val="517E4A56"/>
    <w:rsid w:val="51981739"/>
    <w:rsid w:val="51AC496E"/>
    <w:rsid w:val="51FD27B3"/>
    <w:rsid w:val="533B7DA0"/>
    <w:rsid w:val="53AB2485"/>
    <w:rsid w:val="54116ECA"/>
    <w:rsid w:val="54E77826"/>
    <w:rsid w:val="556914AB"/>
    <w:rsid w:val="556D11C4"/>
    <w:rsid w:val="55E85723"/>
    <w:rsid w:val="560E72C6"/>
    <w:rsid w:val="566F49EF"/>
    <w:rsid w:val="568E2D56"/>
    <w:rsid w:val="56CA7469"/>
    <w:rsid w:val="571114B0"/>
    <w:rsid w:val="576330E5"/>
    <w:rsid w:val="577407E9"/>
    <w:rsid w:val="57A161E5"/>
    <w:rsid w:val="57BE71C4"/>
    <w:rsid w:val="57D06362"/>
    <w:rsid w:val="57EA58F1"/>
    <w:rsid w:val="58241607"/>
    <w:rsid w:val="58270D47"/>
    <w:rsid w:val="58391CA0"/>
    <w:rsid w:val="59620848"/>
    <w:rsid w:val="596A704B"/>
    <w:rsid w:val="59771406"/>
    <w:rsid w:val="59791356"/>
    <w:rsid w:val="599F3C1C"/>
    <w:rsid w:val="59AC59D4"/>
    <w:rsid w:val="59B07C21"/>
    <w:rsid w:val="59D226B9"/>
    <w:rsid w:val="5A080774"/>
    <w:rsid w:val="5AC34EEB"/>
    <w:rsid w:val="5AF0321E"/>
    <w:rsid w:val="5B8C76D2"/>
    <w:rsid w:val="5BCF219F"/>
    <w:rsid w:val="5C5514B6"/>
    <w:rsid w:val="5D842CCE"/>
    <w:rsid w:val="5DB21521"/>
    <w:rsid w:val="5DCA41FA"/>
    <w:rsid w:val="5E676132"/>
    <w:rsid w:val="600339F4"/>
    <w:rsid w:val="604E57FA"/>
    <w:rsid w:val="60B41207"/>
    <w:rsid w:val="612859DF"/>
    <w:rsid w:val="619440AC"/>
    <w:rsid w:val="61BF1B9C"/>
    <w:rsid w:val="61FE1B21"/>
    <w:rsid w:val="62650996"/>
    <w:rsid w:val="633A345F"/>
    <w:rsid w:val="63585E05"/>
    <w:rsid w:val="64595B2D"/>
    <w:rsid w:val="64BC6733"/>
    <w:rsid w:val="65B304D0"/>
    <w:rsid w:val="65CE3D79"/>
    <w:rsid w:val="662D17CA"/>
    <w:rsid w:val="665E1984"/>
    <w:rsid w:val="67A05FCC"/>
    <w:rsid w:val="690C49DF"/>
    <w:rsid w:val="69141D46"/>
    <w:rsid w:val="6916333E"/>
    <w:rsid w:val="69401815"/>
    <w:rsid w:val="696B5145"/>
    <w:rsid w:val="6A3824EC"/>
    <w:rsid w:val="6A8C4707"/>
    <w:rsid w:val="6AC74F73"/>
    <w:rsid w:val="6AE502BD"/>
    <w:rsid w:val="6B186E32"/>
    <w:rsid w:val="6B381289"/>
    <w:rsid w:val="6BE70AEA"/>
    <w:rsid w:val="6C285644"/>
    <w:rsid w:val="6DCC3D79"/>
    <w:rsid w:val="6E1954C7"/>
    <w:rsid w:val="6E82642B"/>
    <w:rsid w:val="6EB943C1"/>
    <w:rsid w:val="6EFA39EA"/>
    <w:rsid w:val="6F236228"/>
    <w:rsid w:val="6F5E2077"/>
    <w:rsid w:val="6F825770"/>
    <w:rsid w:val="6F926B42"/>
    <w:rsid w:val="6FDF328B"/>
    <w:rsid w:val="70044571"/>
    <w:rsid w:val="70165DEE"/>
    <w:rsid w:val="70741DA4"/>
    <w:rsid w:val="70791D93"/>
    <w:rsid w:val="714F512A"/>
    <w:rsid w:val="71600062"/>
    <w:rsid w:val="723C0BE8"/>
    <w:rsid w:val="724C3343"/>
    <w:rsid w:val="728F1E7B"/>
    <w:rsid w:val="72B80135"/>
    <w:rsid w:val="72B91C92"/>
    <w:rsid w:val="73203396"/>
    <w:rsid w:val="73493C3B"/>
    <w:rsid w:val="7381392D"/>
    <w:rsid w:val="73946813"/>
    <w:rsid w:val="741416F8"/>
    <w:rsid w:val="75463ADF"/>
    <w:rsid w:val="754C0D71"/>
    <w:rsid w:val="7553713F"/>
    <w:rsid w:val="75974726"/>
    <w:rsid w:val="76575907"/>
    <w:rsid w:val="769B7DFB"/>
    <w:rsid w:val="76DC37DE"/>
    <w:rsid w:val="771334BC"/>
    <w:rsid w:val="778D5550"/>
    <w:rsid w:val="77E10AA1"/>
    <w:rsid w:val="77F1690C"/>
    <w:rsid w:val="78B47B29"/>
    <w:rsid w:val="79167ABD"/>
    <w:rsid w:val="79805488"/>
    <w:rsid w:val="79A731EA"/>
    <w:rsid w:val="7A0A0E0F"/>
    <w:rsid w:val="7A0E7809"/>
    <w:rsid w:val="7A457535"/>
    <w:rsid w:val="7AE4507B"/>
    <w:rsid w:val="7AF62794"/>
    <w:rsid w:val="7BC062FC"/>
    <w:rsid w:val="7C8A3331"/>
    <w:rsid w:val="7CB52D00"/>
    <w:rsid w:val="7DC25B19"/>
    <w:rsid w:val="7DE45648"/>
    <w:rsid w:val="7DF848B9"/>
    <w:rsid w:val="7E430F54"/>
    <w:rsid w:val="7ECA0D84"/>
    <w:rsid w:val="7EE84B51"/>
    <w:rsid w:val="7F231262"/>
    <w:rsid w:val="7F412911"/>
    <w:rsid w:val="7F623E68"/>
    <w:rsid w:val="7F6A539F"/>
    <w:rsid w:val="7FB87EFF"/>
    <w:rsid w:val="7FC2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qFormat/>
    <w:uiPriority w:val="0"/>
    <w:pPr>
      <w:keepNext/>
      <w:keepLines/>
      <w:pageBreakBefore/>
      <w:numPr>
        <w:ilvl w:val="0"/>
        <w:numId w:val="1"/>
      </w:numPr>
      <w:spacing w:beforeLines="0" w:beforeAutospacing="0" w:afterLines="0" w:afterAutospacing="0" w:line="360" w:lineRule="auto"/>
      <w:ind w:firstLine="0" w:firstLineChars="0"/>
      <w:jc w:val="center"/>
      <w:outlineLvl w:val="0"/>
    </w:pPr>
    <w:rPr>
      <w:rFonts w:ascii="Times New Roman" w:hAnsi="Times New Roman" w:eastAsia="宋体" w:cs="Times New Roman"/>
      <w:b/>
      <w:kern w:val="44"/>
      <w:sz w:val="36"/>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3"/>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865</Characters>
  <Lines>0</Lines>
  <Paragraphs>0</Paragraphs>
  <TotalTime>8</TotalTime>
  <ScaleCrop>false</ScaleCrop>
  <LinksUpToDate>false</LinksUpToDate>
  <CharactersWithSpaces>868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2024-05-23T03:47:00Z</dcterms:created>
  <dc:creator>晋杨林</dc:creator>
  <cp:lastModifiedBy>张煜</cp:lastModifiedBy>
  <dcterms:modified xsi:type="dcterms:W3CDTF">2024-08-22T00:43:46Z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4F49688A5AAE40ED9E87F289EA3E124C_13</vt:lpwstr>
  </property>
</Properties>
</file>